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85E47" w14:textId="003513F6" w:rsidR="00874C9E" w:rsidRDefault="00874C9E" w:rsidP="00874C9E">
      <w:pPr>
        <w:jc w:val="center"/>
        <w:rPr>
          <w:rFonts w:cs="Arial"/>
          <w:b/>
          <w:szCs w:val="22"/>
        </w:rPr>
      </w:pPr>
      <w:bookmarkStart w:id="0" w:name="_GoBack"/>
      <w:bookmarkEnd w:id="0"/>
      <w:r w:rsidRPr="00067964">
        <w:rPr>
          <w:rFonts w:cs="Arial"/>
          <w:b/>
          <w:szCs w:val="22"/>
        </w:rPr>
        <w:t>Joint Crediting Mechanism Approved Methodology ID_AM02</w:t>
      </w:r>
      <w:r>
        <w:rPr>
          <w:rFonts w:cs="Arial"/>
          <w:b/>
          <w:szCs w:val="22"/>
        </w:rPr>
        <w:t>5</w:t>
      </w:r>
    </w:p>
    <w:p w14:paraId="0A35A3A3" w14:textId="423A6507" w:rsidR="00874C9E" w:rsidRDefault="00874C9E" w:rsidP="00874C9E">
      <w:pPr>
        <w:jc w:val="center"/>
        <w:rPr>
          <w:rFonts w:cs="Arial"/>
          <w:b/>
          <w:szCs w:val="22"/>
        </w:rPr>
      </w:pPr>
      <w:r>
        <w:rPr>
          <w:rFonts w:cs="Arial"/>
          <w:b/>
          <w:szCs w:val="22"/>
        </w:rPr>
        <w:t>“</w:t>
      </w:r>
      <w:r w:rsidRPr="00874C9E">
        <w:rPr>
          <w:rFonts w:cs="Arial"/>
          <w:b/>
          <w:szCs w:val="22"/>
        </w:rPr>
        <w:t>Installation of all-electric injection molding machine with power regeneration</w:t>
      </w:r>
      <w:r>
        <w:rPr>
          <w:rFonts w:cs="Arial"/>
          <w:b/>
          <w:szCs w:val="22"/>
        </w:rPr>
        <w:t>”</w:t>
      </w:r>
    </w:p>
    <w:p w14:paraId="2F7427ED" w14:textId="5F1FD3DF" w:rsidR="0016310E" w:rsidRPr="0016310E" w:rsidRDefault="0016310E">
      <w:pPr>
        <w:rPr>
          <w:szCs w:val="22"/>
        </w:r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16310E" w14:paraId="43B9A5F1" w14:textId="77777777" w:rsidTr="00B26B1C">
        <w:tc>
          <w:tcPr>
            <w:tcW w:w="5000" w:type="pct"/>
            <w:shd w:val="clear" w:color="auto" w:fill="17365D"/>
          </w:tcPr>
          <w:p w14:paraId="162C7CBA" w14:textId="77777777" w:rsidR="006B4ECA" w:rsidRPr="0016310E" w:rsidRDefault="006B4ECA" w:rsidP="00215D29">
            <w:pPr>
              <w:numPr>
                <w:ilvl w:val="1"/>
                <w:numId w:val="3"/>
              </w:numPr>
              <w:rPr>
                <w:b/>
                <w:szCs w:val="22"/>
              </w:rPr>
            </w:pPr>
            <w:r w:rsidRPr="0016310E">
              <w:rPr>
                <w:b/>
                <w:szCs w:val="22"/>
              </w:rPr>
              <w:t>Title of the methodology</w:t>
            </w:r>
          </w:p>
        </w:tc>
      </w:tr>
    </w:tbl>
    <w:p w14:paraId="441FD522" w14:textId="77777777" w:rsidR="006B4ECA" w:rsidRPr="0016310E" w:rsidRDefault="006B4ECA" w:rsidP="00301A1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035F897E" w14:textId="77777777" w:rsidTr="00B26B1C">
        <w:tc>
          <w:tcPr>
            <w:tcW w:w="5000" w:type="pct"/>
          </w:tcPr>
          <w:p w14:paraId="1440573D" w14:textId="21E14807" w:rsidR="0016310E" w:rsidRPr="00FC2BC0" w:rsidRDefault="00665011" w:rsidP="00301A13">
            <w:pPr>
              <w:rPr>
                <w:szCs w:val="22"/>
              </w:rPr>
            </w:pPr>
            <w:r>
              <w:t>Installation</w:t>
            </w:r>
            <w:r w:rsidR="00556AFD">
              <w:rPr>
                <w:szCs w:val="22"/>
              </w:rPr>
              <w:t xml:space="preserve"> </w:t>
            </w:r>
            <w:r w:rsidR="002F7302">
              <w:rPr>
                <w:szCs w:val="22"/>
              </w:rPr>
              <w:t>of</w:t>
            </w:r>
            <w:r w:rsidR="00535862">
              <w:rPr>
                <w:szCs w:val="22"/>
              </w:rPr>
              <w:t xml:space="preserve"> </w:t>
            </w:r>
            <w:r w:rsidR="00535862" w:rsidRPr="00535862">
              <w:rPr>
                <w:szCs w:val="22"/>
              </w:rPr>
              <w:t>all</w:t>
            </w:r>
            <w:r w:rsidR="00CF45E4">
              <w:rPr>
                <w:szCs w:val="22"/>
              </w:rPr>
              <w:t>-</w:t>
            </w:r>
            <w:r w:rsidR="00535862" w:rsidRPr="00535862">
              <w:rPr>
                <w:szCs w:val="22"/>
              </w:rPr>
              <w:t>electric injection molding machine</w:t>
            </w:r>
            <w:r w:rsidR="00AC0381">
              <w:rPr>
                <w:szCs w:val="22"/>
              </w:rPr>
              <w:t xml:space="preserve"> with power regeneration</w:t>
            </w:r>
            <w:r w:rsidR="002F7302">
              <w:rPr>
                <w:szCs w:val="22"/>
              </w:rPr>
              <w:t>, Version 1.0</w:t>
            </w:r>
          </w:p>
        </w:tc>
      </w:tr>
    </w:tbl>
    <w:p w14:paraId="032A6172" w14:textId="77777777" w:rsidR="0016310E" w:rsidRPr="0016310E" w:rsidRDefault="0016310E" w:rsidP="00301A13">
      <w:pPr>
        <w:rPr>
          <w:color w:val="FF0000"/>
          <w:szCs w:val="22"/>
        </w:rPr>
      </w:pPr>
    </w:p>
    <w:p w14:paraId="0BE90E83" w14:textId="77777777" w:rsidR="004F725C" w:rsidRPr="0016310E" w:rsidRDefault="004F725C">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16310E" w14:paraId="1BE12950" w14:textId="77777777" w:rsidTr="00B26B1C">
        <w:tc>
          <w:tcPr>
            <w:tcW w:w="5000" w:type="pct"/>
            <w:shd w:val="clear" w:color="auto" w:fill="17365D"/>
          </w:tcPr>
          <w:p w14:paraId="06DE5EA2" w14:textId="77777777" w:rsidR="002112EA" w:rsidRPr="0016310E" w:rsidRDefault="002112EA" w:rsidP="00215D29">
            <w:pPr>
              <w:numPr>
                <w:ilvl w:val="1"/>
                <w:numId w:val="3"/>
              </w:numPr>
              <w:rPr>
                <w:b/>
                <w:szCs w:val="22"/>
              </w:rPr>
            </w:pPr>
            <w:r w:rsidRPr="0016310E">
              <w:rPr>
                <w:b/>
                <w:szCs w:val="22"/>
              </w:rPr>
              <w:t>Terms and definitions</w:t>
            </w:r>
          </w:p>
        </w:tc>
      </w:tr>
    </w:tbl>
    <w:p w14:paraId="27FA9CB0" w14:textId="77777777" w:rsidR="002112EA" w:rsidRPr="0016310E"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5411"/>
      </w:tblGrid>
      <w:tr w:rsidR="002112EA" w:rsidRPr="0016310E" w14:paraId="53FB25DF" w14:textId="77777777" w:rsidTr="00B26B1C">
        <w:tc>
          <w:tcPr>
            <w:tcW w:w="1815" w:type="pct"/>
            <w:shd w:val="clear" w:color="auto" w:fill="C6D9F1"/>
          </w:tcPr>
          <w:p w14:paraId="5459C87B" w14:textId="77777777" w:rsidR="002112EA" w:rsidRPr="0016310E" w:rsidRDefault="002112EA" w:rsidP="00A15D22">
            <w:pPr>
              <w:jc w:val="center"/>
              <w:rPr>
                <w:szCs w:val="22"/>
              </w:rPr>
            </w:pPr>
            <w:r w:rsidRPr="0016310E">
              <w:rPr>
                <w:rFonts w:hint="eastAsia"/>
                <w:szCs w:val="22"/>
              </w:rPr>
              <w:t>Terms</w:t>
            </w:r>
          </w:p>
        </w:tc>
        <w:tc>
          <w:tcPr>
            <w:tcW w:w="3185" w:type="pct"/>
            <w:shd w:val="clear" w:color="auto" w:fill="C6D9F1"/>
          </w:tcPr>
          <w:p w14:paraId="136CE789" w14:textId="77777777" w:rsidR="002112EA" w:rsidRPr="0016310E" w:rsidRDefault="002112EA" w:rsidP="00A15D22">
            <w:pPr>
              <w:jc w:val="center"/>
              <w:rPr>
                <w:szCs w:val="22"/>
              </w:rPr>
            </w:pPr>
            <w:r w:rsidRPr="0016310E">
              <w:rPr>
                <w:rFonts w:hint="eastAsia"/>
                <w:szCs w:val="22"/>
              </w:rPr>
              <w:t>Definition</w:t>
            </w:r>
            <w:r w:rsidR="00D42C87" w:rsidRPr="0016310E">
              <w:rPr>
                <w:rFonts w:hint="eastAsia"/>
                <w:szCs w:val="22"/>
              </w:rPr>
              <w:t>s</w:t>
            </w:r>
          </w:p>
        </w:tc>
      </w:tr>
      <w:tr w:rsidR="002F7302" w:rsidRPr="0016310E" w14:paraId="1965A1D2" w14:textId="77777777" w:rsidTr="00B26B1C">
        <w:tc>
          <w:tcPr>
            <w:tcW w:w="1815" w:type="pct"/>
            <w:shd w:val="clear" w:color="auto" w:fill="auto"/>
          </w:tcPr>
          <w:p w14:paraId="64E8B134" w14:textId="37E90119" w:rsidR="002F7302" w:rsidRPr="0016310E" w:rsidRDefault="00E261E9" w:rsidP="001A655F">
            <w:pPr>
              <w:rPr>
                <w:szCs w:val="22"/>
              </w:rPr>
            </w:pPr>
            <w:r>
              <w:rPr>
                <w:szCs w:val="22"/>
              </w:rPr>
              <w:t>I</w:t>
            </w:r>
            <w:r w:rsidR="00D7269B" w:rsidRPr="00535862">
              <w:rPr>
                <w:szCs w:val="22"/>
              </w:rPr>
              <w:t>njection molding machine</w:t>
            </w:r>
          </w:p>
        </w:tc>
        <w:tc>
          <w:tcPr>
            <w:tcW w:w="3185" w:type="pct"/>
            <w:shd w:val="clear" w:color="auto" w:fill="auto"/>
          </w:tcPr>
          <w:p w14:paraId="4DE305E3" w14:textId="46F45435" w:rsidR="002F7302" w:rsidRPr="0016310E" w:rsidRDefault="00E443D9" w:rsidP="001A655F">
            <w:pPr>
              <w:rPr>
                <w:szCs w:val="22"/>
              </w:rPr>
            </w:pPr>
            <w:r>
              <w:rPr>
                <w:szCs w:val="22"/>
              </w:rPr>
              <w:t>I</w:t>
            </w:r>
            <w:r w:rsidR="00D7269B" w:rsidRPr="00535862">
              <w:rPr>
                <w:szCs w:val="22"/>
              </w:rPr>
              <w:t>njection molding machine</w:t>
            </w:r>
            <w:r w:rsidR="002F7302">
              <w:rPr>
                <w:szCs w:val="22"/>
              </w:rPr>
              <w:t xml:space="preserve"> which</w:t>
            </w:r>
            <w:r>
              <w:rPr>
                <w:szCs w:val="22"/>
              </w:rPr>
              <w:t xml:space="preserve"> </w:t>
            </w:r>
            <w:r w:rsidR="0098759B">
              <w:rPr>
                <w:szCs w:val="22"/>
              </w:rPr>
              <w:t xml:space="preserve">consists of </w:t>
            </w:r>
            <w:r w:rsidR="009D4F2F">
              <w:t>injection unit, plasticizing unit, clamping unit and ejection unit</w:t>
            </w:r>
            <w:r w:rsidR="00AA7E01">
              <w:t>,</w:t>
            </w:r>
            <w:r w:rsidR="009D4F2F">
              <w:rPr>
                <w:szCs w:val="22"/>
              </w:rPr>
              <w:t xml:space="preserve"> </w:t>
            </w:r>
            <w:r w:rsidR="0098759B">
              <w:rPr>
                <w:szCs w:val="22"/>
              </w:rPr>
              <w:t xml:space="preserve">and </w:t>
            </w:r>
            <w:r>
              <w:rPr>
                <w:szCs w:val="22"/>
              </w:rPr>
              <w:t>is used for manufacturing plastic products.</w:t>
            </w:r>
          </w:p>
        </w:tc>
      </w:tr>
      <w:tr w:rsidR="00257C5C" w:rsidRPr="0016310E" w14:paraId="19C033B4" w14:textId="77777777" w:rsidTr="00B26B1C">
        <w:tc>
          <w:tcPr>
            <w:tcW w:w="1815" w:type="pct"/>
            <w:shd w:val="clear" w:color="auto" w:fill="auto"/>
          </w:tcPr>
          <w:p w14:paraId="6AFDAC49" w14:textId="00DBE3F1" w:rsidR="00257C5C" w:rsidRPr="0016310E" w:rsidRDefault="00E261E9" w:rsidP="001A655F">
            <w:pPr>
              <w:rPr>
                <w:szCs w:val="22"/>
              </w:rPr>
            </w:pPr>
            <w:r>
              <w:rPr>
                <w:szCs w:val="22"/>
              </w:rPr>
              <w:t>A</w:t>
            </w:r>
            <w:r w:rsidR="00AD76FC">
              <w:rPr>
                <w:szCs w:val="22"/>
              </w:rPr>
              <w:t>ll</w:t>
            </w:r>
            <w:r w:rsidR="00CF45E4">
              <w:rPr>
                <w:szCs w:val="22"/>
              </w:rPr>
              <w:t>-</w:t>
            </w:r>
            <w:r w:rsidR="00257C5C" w:rsidRPr="00535862">
              <w:rPr>
                <w:szCs w:val="22"/>
              </w:rPr>
              <w:t>electric injection molding machine</w:t>
            </w:r>
          </w:p>
        </w:tc>
        <w:tc>
          <w:tcPr>
            <w:tcW w:w="3185" w:type="pct"/>
            <w:shd w:val="clear" w:color="auto" w:fill="auto"/>
          </w:tcPr>
          <w:p w14:paraId="20C752CD" w14:textId="288FACB3" w:rsidR="00257C5C" w:rsidRDefault="000C6A4F" w:rsidP="001A655F">
            <w:pPr>
              <w:rPr>
                <w:szCs w:val="22"/>
              </w:rPr>
            </w:pPr>
            <w:r>
              <w:rPr>
                <w:szCs w:val="22"/>
              </w:rPr>
              <w:t>I</w:t>
            </w:r>
            <w:r w:rsidRPr="00535862">
              <w:rPr>
                <w:szCs w:val="22"/>
              </w:rPr>
              <w:t>njection molding machine</w:t>
            </w:r>
            <w:r>
              <w:rPr>
                <w:szCs w:val="22"/>
              </w:rPr>
              <w:t xml:space="preserve"> which is operated by </w:t>
            </w:r>
            <w:r>
              <w:t>electric</w:t>
            </w:r>
            <w:r w:rsidR="005C35FE">
              <w:t xml:space="preserve"> press. All of 4 </w:t>
            </w:r>
            <w:proofErr w:type="gramStart"/>
            <w:r w:rsidR="005C35FE">
              <w:t>servo-</w:t>
            </w:r>
            <w:r w:rsidR="005C35FE" w:rsidRPr="005C35FE">
              <w:t>motor</w:t>
            </w:r>
            <w:r w:rsidR="005C35FE">
              <w:t>s</w:t>
            </w:r>
            <w:proofErr w:type="gramEnd"/>
            <w:r w:rsidR="005C35FE">
              <w:t xml:space="preserve"> </w:t>
            </w:r>
            <w:r w:rsidR="0098759B">
              <w:t xml:space="preserve">for </w:t>
            </w:r>
            <w:r w:rsidR="005C35FE">
              <w:t xml:space="preserve">injection </w:t>
            </w:r>
            <w:r w:rsidR="00711B1B">
              <w:t>unit</w:t>
            </w:r>
            <w:r w:rsidR="005C35FE">
              <w:t>, plasticizing u</w:t>
            </w:r>
            <w:r w:rsidR="00711B1B">
              <w:t xml:space="preserve">nit, clamping unit, and ejection unit </w:t>
            </w:r>
            <w:r w:rsidR="005C35FE">
              <w:t xml:space="preserve">are </w:t>
            </w:r>
            <w:r w:rsidR="004F4ED2">
              <w:t xml:space="preserve">directly </w:t>
            </w:r>
            <w:r w:rsidR="005C35FE">
              <w:t>electrically driven.</w:t>
            </w:r>
            <w:r w:rsidR="002955B6">
              <w:rPr>
                <w:szCs w:val="22"/>
              </w:rPr>
              <w:t xml:space="preserve"> </w:t>
            </w:r>
            <w:r w:rsidR="002955B6" w:rsidRPr="002955B6">
              <w:rPr>
                <w:szCs w:val="22"/>
              </w:rPr>
              <w:t>All-electric injection molding machine</w:t>
            </w:r>
            <w:r w:rsidR="002955B6">
              <w:rPr>
                <w:szCs w:val="22"/>
              </w:rPr>
              <w:t xml:space="preserve"> is </w:t>
            </w:r>
            <w:r w:rsidR="002955B6" w:rsidRPr="00A67767">
              <w:rPr>
                <w:szCs w:val="22"/>
              </w:rPr>
              <w:t>design</w:t>
            </w:r>
            <w:r w:rsidR="002955B6">
              <w:rPr>
                <w:szCs w:val="22"/>
              </w:rPr>
              <w:t>ed</w:t>
            </w:r>
            <w:r w:rsidR="002955B6" w:rsidRPr="00A67767">
              <w:rPr>
                <w:szCs w:val="22"/>
              </w:rPr>
              <w:t xml:space="preserve"> </w:t>
            </w:r>
            <w:r w:rsidR="002955B6">
              <w:rPr>
                <w:szCs w:val="22"/>
              </w:rPr>
              <w:t>by</w:t>
            </w:r>
            <w:r w:rsidR="002955B6" w:rsidRPr="00A67767">
              <w:rPr>
                <w:szCs w:val="22"/>
              </w:rPr>
              <w:t xml:space="preserve"> </w:t>
            </w:r>
            <w:r w:rsidR="002955B6">
              <w:rPr>
                <w:szCs w:val="22"/>
              </w:rPr>
              <w:t>open</w:t>
            </w:r>
            <w:r w:rsidR="002955B6" w:rsidRPr="00A67767">
              <w:rPr>
                <w:szCs w:val="22"/>
              </w:rPr>
              <w:t>ed control</w:t>
            </w:r>
            <w:r w:rsidR="002955B6">
              <w:rPr>
                <w:szCs w:val="22"/>
              </w:rPr>
              <w:t xml:space="preserve"> </w:t>
            </w:r>
            <w:r w:rsidR="002955B6" w:rsidRPr="00A67767">
              <w:rPr>
                <w:szCs w:val="22"/>
              </w:rPr>
              <w:t>system</w:t>
            </w:r>
            <w:r w:rsidR="002955B6">
              <w:rPr>
                <w:szCs w:val="22"/>
              </w:rPr>
              <w:t>.</w:t>
            </w:r>
          </w:p>
        </w:tc>
      </w:tr>
      <w:tr w:rsidR="00257C5C" w:rsidRPr="0016310E" w14:paraId="796BBB56" w14:textId="77777777" w:rsidTr="00B26B1C">
        <w:tc>
          <w:tcPr>
            <w:tcW w:w="1815" w:type="pct"/>
            <w:shd w:val="clear" w:color="auto" w:fill="auto"/>
          </w:tcPr>
          <w:p w14:paraId="7D8C40D3" w14:textId="0EC44F73" w:rsidR="00257C5C" w:rsidRPr="00D7269B" w:rsidRDefault="00E261E9" w:rsidP="001A655F">
            <w:pPr>
              <w:rPr>
                <w:szCs w:val="22"/>
              </w:rPr>
            </w:pPr>
            <w:r>
              <w:rPr>
                <w:szCs w:val="22"/>
              </w:rPr>
              <w:t>H</w:t>
            </w:r>
            <w:r w:rsidR="00257C5C" w:rsidRPr="00D72CD6">
              <w:rPr>
                <w:szCs w:val="22"/>
              </w:rPr>
              <w:t>ydraulic</w:t>
            </w:r>
            <w:r w:rsidR="00257C5C">
              <w:rPr>
                <w:szCs w:val="22"/>
              </w:rPr>
              <w:t xml:space="preserve"> </w:t>
            </w:r>
            <w:r w:rsidR="00257C5C" w:rsidRPr="00535862">
              <w:rPr>
                <w:szCs w:val="22"/>
              </w:rPr>
              <w:t>injection molding machine</w:t>
            </w:r>
          </w:p>
        </w:tc>
        <w:tc>
          <w:tcPr>
            <w:tcW w:w="3185" w:type="pct"/>
            <w:shd w:val="clear" w:color="auto" w:fill="auto"/>
          </w:tcPr>
          <w:p w14:paraId="089FE6F3" w14:textId="7248D62B" w:rsidR="00257C5C" w:rsidRDefault="000C6A4F" w:rsidP="001A655F">
            <w:pPr>
              <w:rPr>
                <w:szCs w:val="22"/>
              </w:rPr>
            </w:pPr>
            <w:r>
              <w:rPr>
                <w:szCs w:val="22"/>
              </w:rPr>
              <w:t>I</w:t>
            </w:r>
            <w:r w:rsidRPr="00535862">
              <w:rPr>
                <w:szCs w:val="22"/>
              </w:rPr>
              <w:t>njection molding machine</w:t>
            </w:r>
            <w:r>
              <w:rPr>
                <w:szCs w:val="22"/>
              </w:rPr>
              <w:t xml:space="preserve"> which is operated </w:t>
            </w:r>
            <w:r w:rsidR="0079583F">
              <w:rPr>
                <w:szCs w:val="22"/>
              </w:rPr>
              <w:t xml:space="preserve">with </w:t>
            </w:r>
            <w:r>
              <w:rPr>
                <w:szCs w:val="22"/>
              </w:rPr>
              <w:t>h</w:t>
            </w:r>
            <w:r w:rsidRPr="00D72CD6">
              <w:rPr>
                <w:szCs w:val="22"/>
              </w:rPr>
              <w:t>ydraulic</w:t>
            </w:r>
            <w:r>
              <w:rPr>
                <w:lang w:val="en"/>
              </w:rPr>
              <w:t xml:space="preserve"> press</w:t>
            </w:r>
            <w:r w:rsidR="0079583F">
              <w:rPr>
                <w:rFonts w:hint="eastAsia"/>
                <w:lang w:val="en"/>
              </w:rPr>
              <w:t xml:space="preserve"> </w:t>
            </w:r>
            <w:r w:rsidR="0079583F">
              <w:rPr>
                <w:rFonts w:eastAsiaTheme="minorEastAsia"/>
              </w:rPr>
              <w:t>by the oil pumps</w:t>
            </w:r>
            <w:r w:rsidR="005C35FE">
              <w:rPr>
                <w:lang w:val="en"/>
              </w:rPr>
              <w:t>.</w:t>
            </w:r>
            <w:r w:rsidR="00A67767">
              <w:rPr>
                <w:lang w:val="en"/>
              </w:rPr>
              <w:t xml:space="preserve"> </w:t>
            </w:r>
            <w:r w:rsidR="00A67767">
              <w:rPr>
                <w:szCs w:val="22"/>
              </w:rPr>
              <w:t>H</w:t>
            </w:r>
            <w:r w:rsidR="00A67767" w:rsidRPr="00D72CD6">
              <w:rPr>
                <w:szCs w:val="22"/>
              </w:rPr>
              <w:t>ydraulic</w:t>
            </w:r>
            <w:r w:rsidR="00A67767">
              <w:rPr>
                <w:szCs w:val="22"/>
              </w:rPr>
              <w:t xml:space="preserve"> </w:t>
            </w:r>
            <w:r w:rsidR="00A67767" w:rsidRPr="00535862">
              <w:rPr>
                <w:szCs w:val="22"/>
              </w:rPr>
              <w:t>injection molding machine</w:t>
            </w:r>
            <w:r w:rsidR="00A67767">
              <w:rPr>
                <w:szCs w:val="22"/>
              </w:rPr>
              <w:t xml:space="preserve"> is </w:t>
            </w:r>
            <w:r w:rsidR="00A67767" w:rsidRPr="00A67767">
              <w:rPr>
                <w:szCs w:val="22"/>
              </w:rPr>
              <w:t>design</w:t>
            </w:r>
            <w:r w:rsidR="00A67767">
              <w:rPr>
                <w:szCs w:val="22"/>
              </w:rPr>
              <w:t>ed</w:t>
            </w:r>
            <w:r w:rsidR="00A67767" w:rsidRPr="00A67767">
              <w:rPr>
                <w:szCs w:val="22"/>
              </w:rPr>
              <w:t xml:space="preserve"> </w:t>
            </w:r>
            <w:r w:rsidR="002955B6">
              <w:rPr>
                <w:szCs w:val="22"/>
              </w:rPr>
              <w:t>by</w:t>
            </w:r>
            <w:r w:rsidR="00A67767" w:rsidRPr="00A67767">
              <w:rPr>
                <w:szCs w:val="22"/>
              </w:rPr>
              <w:t xml:space="preserve"> closed control</w:t>
            </w:r>
            <w:r w:rsidR="002955B6">
              <w:rPr>
                <w:szCs w:val="22"/>
              </w:rPr>
              <w:t xml:space="preserve"> </w:t>
            </w:r>
            <w:r w:rsidR="002955B6" w:rsidRPr="00A67767">
              <w:rPr>
                <w:szCs w:val="22"/>
              </w:rPr>
              <w:t>system</w:t>
            </w:r>
            <w:r w:rsidR="002955B6">
              <w:rPr>
                <w:szCs w:val="22"/>
              </w:rPr>
              <w:t>.</w:t>
            </w:r>
          </w:p>
        </w:tc>
      </w:tr>
      <w:tr w:rsidR="00D7269B" w:rsidRPr="0016310E" w14:paraId="1D90484A" w14:textId="77777777" w:rsidTr="00B26B1C">
        <w:tc>
          <w:tcPr>
            <w:tcW w:w="1815" w:type="pct"/>
            <w:shd w:val="clear" w:color="auto" w:fill="auto"/>
          </w:tcPr>
          <w:p w14:paraId="34FEC1E3" w14:textId="1C28996A" w:rsidR="00D7269B" w:rsidRDefault="00E261E9" w:rsidP="001A655F">
            <w:pPr>
              <w:rPr>
                <w:szCs w:val="22"/>
              </w:rPr>
            </w:pPr>
            <w:r>
              <w:rPr>
                <w:color w:val="222222"/>
                <w:lang w:val="en"/>
              </w:rPr>
              <w:t>P</w:t>
            </w:r>
            <w:r w:rsidR="004C5535">
              <w:rPr>
                <w:color w:val="222222"/>
                <w:lang w:val="en"/>
              </w:rPr>
              <w:t>ower regeneration</w:t>
            </w:r>
          </w:p>
        </w:tc>
        <w:tc>
          <w:tcPr>
            <w:tcW w:w="3185" w:type="pct"/>
            <w:shd w:val="clear" w:color="auto" w:fill="auto"/>
          </w:tcPr>
          <w:p w14:paraId="2C60EDD1" w14:textId="4C2CB6CB" w:rsidR="00D7269B" w:rsidRDefault="00866CE5" w:rsidP="001A655F">
            <w:pPr>
              <w:rPr>
                <w:szCs w:val="22"/>
              </w:rPr>
            </w:pPr>
            <w:r>
              <w:rPr>
                <w:szCs w:val="22"/>
              </w:rPr>
              <w:t>T</w:t>
            </w:r>
            <w:r w:rsidR="00E120BF" w:rsidRPr="00E120BF">
              <w:rPr>
                <w:szCs w:val="22"/>
              </w:rPr>
              <w:t>o regenerate electric power efficiently by kinetic energy</w:t>
            </w:r>
            <w:r w:rsidR="00E120BF">
              <w:rPr>
                <w:szCs w:val="22"/>
              </w:rPr>
              <w:t xml:space="preserve"> at </w:t>
            </w:r>
            <w:r w:rsidR="00257C5C">
              <w:rPr>
                <w:szCs w:val="22"/>
              </w:rPr>
              <w:t>deceleration of motors.</w:t>
            </w:r>
          </w:p>
        </w:tc>
      </w:tr>
    </w:tbl>
    <w:p w14:paraId="4331FECC" w14:textId="77777777" w:rsidR="002112EA" w:rsidRPr="0016310E" w:rsidRDefault="002112EA" w:rsidP="002750AC">
      <w:pPr>
        <w:pStyle w:val="1"/>
        <w:numPr>
          <w:ilvl w:val="0"/>
          <w:numId w:val="0"/>
        </w:numPr>
      </w:pPr>
    </w:p>
    <w:p w14:paraId="7008AF9F" w14:textId="77777777" w:rsidR="002750AC" w:rsidRPr="0016310E"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16310E" w14:paraId="60CED921" w14:textId="77777777" w:rsidTr="00B26B1C">
        <w:tc>
          <w:tcPr>
            <w:tcW w:w="5000" w:type="pct"/>
            <w:shd w:val="clear" w:color="auto" w:fill="17365D"/>
          </w:tcPr>
          <w:p w14:paraId="18466CF6" w14:textId="77777777" w:rsidR="002750AC" w:rsidRPr="0016310E" w:rsidRDefault="002750AC" w:rsidP="00215D29">
            <w:pPr>
              <w:numPr>
                <w:ilvl w:val="1"/>
                <w:numId w:val="3"/>
              </w:numPr>
              <w:rPr>
                <w:b/>
                <w:szCs w:val="22"/>
              </w:rPr>
            </w:pPr>
            <w:r w:rsidRPr="0016310E">
              <w:rPr>
                <w:b/>
                <w:szCs w:val="22"/>
              </w:rPr>
              <w:t>Summary of the methodology</w:t>
            </w:r>
          </w:p>
        </w:tc>
      </w:tr>
    </w:tbl>
    <w:p w14:paraId="7A6CB6EE" w14:textId="77777777" w:rsidR="00B558EF" w:rsidRPr="0016310E" w:rsidRDefault="00B558EF" w:rsidP="00301A13">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5732"/>
      </w:tblGrid>
      <w:tr w:rsidR="005C1700" w:rsidRPr="0016310E" w14:paraId="63A14B6D" w14:textId="77777777" w:rsidTr="00B26B1C">
        <w:tc>
          <w:tcPr>
            <w:tcW w:w="1626" w:type="pct"/>
            <w:shd w:val="clear" w:color="auto" w:fill="C6D9F1"/>
          </w:tcPr>
          <w:p w14:paraId="37B2B08A" w14:textId="77777777" w:rsidR="005C1700" w:rsidRPr="0016310E" w:rsidRDefault="00060EC2" w:rsidP="0099640B">
            <w:pPr>
              <w:pStyle w:val="1"/>
              <w:numPr>
                <w:ilvl w:val="0"/>
                <w:numId w:val="0"/>
              </w:numPr>
              <w:jc w:val="center"/>
              <w:rPr>
                <w:kern w:val="2"/>
              </w:rPr>
            </w:pPr>
            <w:r w:rsidRPr="0016310E">
              <w:rPr>
                <w:rFonts w:hint="eastAsia"/>
                <w:kern w:val="2"/>
              </w:rPr>
              <w:t>Items</w:t>
            </w:r>
          </w:p>
        </w:tc>
        <w:tc>
          <w:tcPr>
            <w:tcW w:w="3374" w:type="pct"/>
            <w:shd w:val="clear" w:color="auto" w:fill="C6D9F1"/>
          </w:tcPr>
          <w:p w14:paraId="5D2B5D25" w14:textId="77777777" w:rsidR="005C1700" w:rsidRPr="0016310E" w:rsidRDefault="005C1700" w:rsidP="0099640B">
            <w:pPr>
              <w:pStyle w:val="1"/>
              <w:numPr>
                <w:ilvl w:val="0"/>
                <w:numId w:val="0"/>
              </w:numPr>
              <w:jc w:val="center"/>
              <w:rPr>
                <w:color w:val="auto"/>
                <w:kern w:val="2"/>
              </w:rPr>
            </w:pPr>
            <w:r w:rsidRPr="0016310E">
              <w:rPr>
                <w:rFonts w:hint="eastAsia"/>
                <w:color w:val="auto"/>
                <w:kern w:val="2"/>
              </w:rPr>
              <w:t>Summary</w:t>
            </w:r>
          </w:p>
        </w:tc>
      </w:tr>
      <w:tr w:rsidR="002F7302" w:rsidRPr="0016310E" w14:paraId="3CC941E2" w14:textId="77777777" w:rsidTr="00B26B1C">
        <w:tc>
          <w:tcPr>
            <w:tcW w:w="1626" w:type="pct"/>
            <w:shd w:val="clear" w:color="auto" w:fill="auto"/>
          </w:tcPr>
          <w:p w14:paraId="3DD77F85" w14:textId="77777777" w:rsidR="002F7302" w:rsidRPr="0016310E" w:rsidRDefault="002F7302" w:rsidP="002F7302">
            <w:pPr>
              <w:pStyle w:val="1"/>
              <w:numPr>
                <w:ilvl w:val="0"/>
                <w:numId w:val="0"/>
              </w:numPr>
              <w:rPr>
                <w:kern w:val="2"/>
              </w:rPr>
            </w:pPr>
            <w:r>
              <w:rPr>
                <w:i/>
                <w:kern w:val="2"/>
              </w:rPr>
              <w:t>GHG emission reduction measures</w:t>
            </w:r>
          </w:p>
        </w:tc>
        <w:tc>
          <w:tcPr>
            <w:tcW w:w="3374" w:type="pct"/>
            <w:shd w:val="clear" w:color="auto" w:fill="auto"/>
          </w:tcPr>
          <w:p w14:paraId="0F43F2E0" w14:textId="5933FD59" w:rsidR="002F7302" w:rsidRPr="0016310E" w:rsidRDefault="00AC0381" w:rsidP="002F7302">
            <w:pPr>
              <w:pStyle w:val="1"/>
              <w:numPr>
                <w:ilvl w:val="0"/>
                <w:numId w:val="0"/>
              </w:numPr>
              <w:rPr>
                <w:color w:val="auto"/>
                <w:kern w:val="2"/>
              </w:rPr>
            </w:pPr>
            <w:r>
              <w:rPr>
                <w:rFonts w:eastAsiaTheme="minorEastAsia"/>
                <w:color w:val="auto"/>
              </w:rPr>
              <w:t xml:space="preserve">Installation of </w:t>
            </w:r>
            <w:r w:rsidR="006E126E" w:rsidRPr="000568E5">
              <w:rPr>
                <w:color w:val="auto"/>
              </w:rPr>
              <w:t>all</w:t>
            </w:r>
            <w:r w:rsidR="00AD76FC">
              <w:rPr>
                <w:color w:val="auto"/>
              </w:rPr>
              <w:t>-</w:t>
            </w:r>
            <w:r w:rsidR="006E126E" w:rsidRPr="000568E5">
              <w:rPr>
                <w:color w:val="auto"/>
              </w:rPr>
              <w:t>electric injection molding machine</w:t>
            </w:r>
            <w:r w:rsidR="006E126E" w:rsidRPr="000568E5">
              <w:rPr>
                <w:rFonts w:eastAsiaTheme="minorEastAsia"/>
                <w:color w:val="auto"/>
              </w:rPr>
              <w:t xml:space="preserve"> </w:t>
            </w:r>
            <w:r>
              <w:t xml:space="preserve">with </w:t>
            </w:r>
            <w:r w:rsidR="00C027FE">
              <w:t xml:space="preserve">a function of </w:t>
            </w:r>
            <w:r>
              <w:t>power regeneration</w:t>
            </w:r>
            <w:r w:rsidRPr="000568E5">
              <w:rPr>
                <w:rFonts w:eastAsiaTheme="minorEastAsia"/>
                <w:color w:val="auto"/>
              </w:rPr>
              <w:t xml:space="preserve"> </w:t>
            </w:r>
            <w:r w:rsidR="002F7302">
              <w:rPr>
                <w:rFonts w:eastAsiaTheme="minorEastAsia"/>
              </w:rPr>
              <w:t>leads to reducing electricity consumption by the</w:t>
            </w:r>
            <w:r w:rsidR="000568E5">
              <w:rPr>
                <w:rFonts w:eastAsiaTheme="minorEastAsia"/>
              </w:rPr>
              <w:t xml:space="preserve"> oil</w:t>
            </w:r>
            <w:r w:rsidR="002F7302">
              <w:rPr>
                <w:rFonts w:eastAsiaTheme="minorEastAsia"/>
              </w:rPr>
              <w:t xml:space="preserve"> </w:t>
            </w:r>
            <w:r w:rsidR="000568E5">
              <w:rPr>
                <w:rFonts w:eastAsiaTheme="minorEastAsia"/>
              </w:rPr>
              <w:t>pumps</w:t>
            </w:r>
            <w:r w:rsidR="00D7755D">
              <w:rPr>
                <w:rFonts w:eastAsiaTheme="minorEastAsia"/>
              </w:rPr>
              <w:t xml:space="preserve"> which are used for </w:t>
            </w:r>
            <w:r>
              <w:rPr>
                <w:rFonts w:eastAsiaTheme="minorEastAsia"/>
              </w:rPr>
              <w:t xml:space="preserve">reference </w:t>
            </w:r>
            <w:r w:rsidRPr="00535862">
              <w:t>injection molding machine</w:t>
            </w:r>
            <w:r w:rsidRPr="000568E5">
              <w:rPr>
                <w:color w:val="auto"/>
              </w:rPr>
              <w:t xml:space="preserve"> </w:t>
            </w:r>
            <w:r>
              <w:rPr>
                <w:color w:val="auto"/>
              </w:rPr>
              <w:t>(</w:t>
            </w:r>
            <w:r w:rsidR="00D7755D" w:rsidRPr="000568E5">
              <w:rPr>
                <w:color w:val="auto"/>
              </w:rPr>
              <w:t>hydraulic injection molding machine</w:t>
            </w:r>
            <w:r>
              <w:rPr>
                <w:color w:val="auto"/>
              </w:rPr>
              <w:t>)</w:t>
            </w:r>
            <w:r w:rsidR="002F7302">
              <w:rPr>
                <w:rFonts w:eastAsiaTheme="minorEastAsia"/>
              </w:rPr>
              <w:t>, and consequently GHG emission</w:t>
            </w:r>
            <w:r>
              <w:rPr>
                <w:rFonts w:eastAsiaTheme="minorEastAsia"/>
              </w:rPr>
              <w:t>s</w:t>
            </w:r>
            <w:r w:rsidR="002F7302">
              <w:rPr>
                <w:rFonts w:eastAsiaTheme="minorEastAsia"/>
              </w:rPr>
              <w:t>.</w:t>
            </w:r>
          </w:p>
        </w:tc>
      </w:tr>
      <w:tr w:rsidR="002F7302" w:rsidRPr="00972320" w14:paraId="4E1B095C" w14:textId="77777777" w:rsidTr="00B26B1C">
        <w:tc>
          <w:tcPr>
            <w:tcW w:w="1626" w:type="pct"/>
            <w:shd w:val="clear" w:color="auto" w:fill="auto"/>
          </w:tcPr>
          <w:p w14:paraId="0FF15206" w14:textId="77777777" w:rsidR="002F7302" w:rsidRPr="0016310E" w:rsidRDefault="002F7302" w:rsidP="002F7302">
            <w:pPr>
              <w:pStyle w:val="1"/>
              <w:numPr>
                <w:ilvl w:val="0"/>
                <w:numId w:val="0"/>
              </w:numPr>
              <w:tabs>
                <w:tab w:val="clear" w:pos="680"/>
                <w:tab w:val="left" w:pos="2753"/>
              </w:tabs>
              <w:rPr>
                <w:kern w:val="2"/>
              </w:rPr>
            </w:pPr>
            <w:r>
              <w:rPr>
                <w:i/>
                <w:kern w:val="2"/>
              </w:rPr>
              <w:t>Calculation of reference emissions</w:t>
            </w:r>
          </w:p>
        </w:tc>
        <w:tc>
          <w:tcPr>
            <w:tcW w:w="3374" w:type="pct"/>
            <w:shd w:val="clear" w:color="auto" w:fill="auto"/>
          </w:tcPr>
          <w:p w14:paraId="37E45844" w14:textId="2347B6DA" w:rsidR="002F7302" w:rsidRPr="00403F48" w:rsidRDefault="002F7302" w:rsidP="005E49A9">
            <w:pPr>
              <w:rPr>
                <w:szCs w:val="22"/>
              </w:rPr>
            </w:pPr>
            <w:r w:rsidRPr="00403F48">
              <w:rPr>
                <w:rFonts w:eastAsiaTheme="minorEastAsia"/>
              </w:rPr>
              <w:t>Reference emissions are</w:t>
            </w:r>
            <w:r w:rsidRPr="00403F48">
              <w:t xml:space="preserve"> calculated with the </w:t>
            </w:r>
            <w:r w:rsidR="00D7755D" w:rsidRPr="00403F48">
              <w:t>electricity</w:t>
            </w:r>
            <w:r w:rsidRPr="00403F48">
              <w:t xml:space="preserve"> </w:t>
            </w:r>
            <w:r w:rsidR="005447CE" w:rsidRPr="00403F48">
              <w:rPr>
                <w:szCs w:val="22"/>
              </w:rPr>
              <w:t>consumption</w:t>
            </w:r>
            <w:r w:rsidR="005447CE" w:rsidRPr="00403F48">
              <w:t xml:space="preserve"> </w:t>
            </w:r>
            <w:r w:rsidR="00061370" w:rsidRPr="00403F48">
              <w:t>of</w:t>
            </w:r>
            <w:r w:rsidRPr="00403F48">
              <w:t xml:space="preserve"> </w:t>
            </w:r>
            <w:r w:rsidR="00AD76FC">
              <w:t>all-electric</w:t>
            </w:r>
            <w:r w:rsidR="00D7755D" w:rsidRPr="00403F48">
              <w:t xml:space="preserve"> injection molding machine</w:t>
            </w:r>
            <w:r w:rsidRPr="00403F48">
              <w:t xml:space="preserve">, </w:t>
            </w:r>
            <w:r w:rsidRPr="00403F48">
              <w:rPr>
                <w:szCs w:val="22"/>
              </w:rPr>
              <w:lastRenderedPageBreak/>
              <w:t xml:space="preserve">reduction </w:t>
            </w:r>
            <w:r w:rsidR="00562418">
              <w:rPr>
                <w:szCs w:val="22"/>
              </w:rPr>
              <w:t>ratio</w:t>
            </w:r>
            <w:r w:rsidRPr="00403F48">
              <w:rPr>
                <w:szCs w:val="22"/>
              </w:rPr>
              <w:t xml:space="preserve"> of</w:t>
            </w:r>
            <w:r w:rsidR="005447CE" w:rsidRPr="00403F48">
              <w:t xml:space="preserve"> electricity </w:t>
            </w:r>
            <w:r w:rsidR="005447CE" w:rsidRPr="00403F48">
              <w:rPr>
                <w:szCs w:val="22"/>
              </w:rPr>
              <w:t>consumption</w:t>
            </w:r>
            <w:r w:rsidR="005E49A9">
              <w:rPr>
                <w:szCs w:val="22"/>
              </w:rPr>
              <w:t xml:space="preserve"> and </w:t>
            </w:r>
            <w:r w:rsidRPr="00403F48">
              <w:t>CO</w:t>
            </w:r>
            <w:r w:rsidRPr="00403F48">
              <w:rPr>
                <w:vertAlign w:val="subscript"/>
              </w:rPr>
              <w:t>2</w:t>
            </w:r>
            <w:r w:rsidRPr="00403F48">
              <w:t xml:space="preserve"> emission factor </w:t>
            </w:r>
            <w:r w:rsidRPr="00403F48">
              <w:rPr>
                <w:rFonts w:eastAsiaTheme="minorEastAsia"/>
              </w:rPr>
              <w:t xml:space="preserve">for </w:t>
            </w:r>
            <w:r w:rsidR="003E2864">
              <w:rPr>
                <w:rFonts w:eastAsiaTheme="minorEastAsia"/>
              </w:rPr>
              <w:t xml:space="preserve">consumed </w:t>
            </w:r>
            <w:r w:rsidRPr="00403F48">
              <w:rPr>
                <w:rFonts w:eastAsiaTheme="minorEastAsia"/>
              </w:rPr>
              <w:t>electricity</w:t>
            </w:r>
            <w:r w:rsidRPr="00403F48">
              <w:t>.</w:t>
            </w:r>
          </w:p>
        </w:tc>
      </w:tr>
      <w:tr w:rsidR="002F7302" w:rsidRPr="0016310E" w14:paraId="3F6262C4" w14:textId="77777777" w:rsidTr="00B26B1C">
        <w:tc>
          <w:tcPr>
            <w:tcW w:w="1626" w:type="pct"/>
            <w:shd w:val="clear" w:color="auto" w:fill="auto"/>
          </w:tcPr>
          <w:p w14:paraId="7E42F465" w14:textId="77777777" w:rsidR="002F7302" w:rsidRPr="0016310E" w:rsidRDefault="002F7302" w:rsidP="002F7302">
            <w:pPr>
              <w:pStyle w:val="1"/>
              <w:numPr>
                <w:ilvl w:val="0"/>
                <w:numId w:val="0"/>
              </w:numPr>
              <w:rPr>
                <w:kern w:val="2"/>
              </w:rPr>
            </w:pPr>
            <w:r>
              <w:rPr>
                <w:i/>
                <w:kern w:val="2"/>
              </w:rPr>
              <w:lastRenderedPageBreak/>
              <w:t>Calculation of project emissions</w:t>
            </w:r>
          </w:p>
        </w:tc>
        <w:tc>
          <w:tcPr>
            <w:tcW w:w="3374" w:type="pct"/>
            <w:shd w:val="clear" w:color="auto" w:fill="auto"/>
          </w:tcPr>
          <w:p w14:paraId="69A6CF0F" w14:textId="113E9793" w:rsidR="002F7302" w:rsidRPr="00403F48" w:rsidRDefault="002F7302" w:rsidP="005E49A9">
            <w:pPr>
              <w:pStyle w:val="1"/>
              <w:numPr>
                <w:ilvl w:val="0"/>
                <w:numId w:val="0"/>
              </w:numPr>
              <w:rPr>
                <w:color w:val="auto"/>
                <w:kern w:val="2"/>
              </w:rPr>
            </w:pPr>
            <w:r w:rsidRPr="00403F48">
              <w:rPr>
                <w:color w:val="auto"/>
                <w:kern w:val="2"/>
              </w:rPr>
              <w:t>Project</w:t>
            </w:r>
            <w:r w:rsidRPr="00403F48">
              <w:rPr>
                <w:rFonts w:eastAsiaTheme="minorEastAsia"/>
                <w:color w:val="auto"/>
              </w:rPr>
              <w:t xml:space="preserve"> emissions are</w:t>
            </w:r>
            <w:r w:rsidRPr="00403F48">
              <w:rPr>
                <w:color w:val="auto"/>
              </w:rPr>
              <w:t xml:space="preserve"> calculated with </w:t>
            </w:r>
            <w:r w:rsidR="005E49A9" w:rsidRPr="00403F48">
              <w:t xml:space="preserve">the electricity consumption of </w:t>
            </w:r>
            <w:r w:rsidR="005E49A9">
              <w:t>all-electric</w:t>
            </w:r>
            <w:r w:rsidR="005E49A9" w:rsidRPr="00403F48">
              <w:t xml:space="preserve"> injection molding machine</w:t>
            </w:r>
            <w:r w:rsidR="005447CE" w:rsidRPr="00403F48">
              <w:rPr>
                <w:color w:val="auto"/>
              </w:rPr>
              <w:t xml:space="preserve"> and CO</w:t>
            </w:r>
            <w:r w:rsidR="005447CE" w:rsidRPr="00403F48">
              <w:rPr>
                <w:color w:val="auto"/>
                <w:vertAlign w:val="subscript"/>
              </w:rPr>
              <w:t>2</w:t>
            </w:r>
            <w:r w:rsidR="005447CE" w:rsidRPr="00403F48">
              <w:rPr>
                <w:color w:val="auto"/>
              </w:rPr>
              <w:t xml:space="preserve"> emission factor </w:t>
            </w:r>
            <w:r w:rsidR="005447CE" w:rsidRPr="00403F48">
              <w:rPr>
                <w:rFonts w:eastAsiaTheme="minorEastAsia"/>
                <w:color w:val="auto"/>
              </w:rPr>
              <w:t xml:space="preserve">for </w:t>
            </w:r>
            <w:r w:rsidR="003E2864">
              <w:rPr>
                <w:rFonts w:eastAsiaTheme="minorEastAsia"/>
                <w:color w:val="auto"/>
              </w:rPr>
              <w:t xml:space="preserve">consumed </w:t>
            </w:r>
            <w:r w:rsidR="005447CE" w:rsidRPr="00403F48">
              <w:rPr>
                <w:rFonts w:eastAsiaTheme="minorEastAsia"/>
                <w:color w:val="auto"/>
              </w:rPr>
              <w:t>electricity</w:t>
            </w:r>
            <w:r w:rsidRPr="00403F48">
              <w:rPr>
                <w:color w:val="auto"/>
              </w:rPr>
              <w:t>.</w:t>
            </w:r>
          </w:p>
        </w:tc>
      </w:tr>
      <w:tr w:rsidR="002F7302" w:rsidRPr="0016310E" w14:paraId="151E85E1" w14:textId="77777777" w:rsidTr="00B26B1C">
        <w:tc>
          <w:tcPr>
            <w:tcW w:w="1626" w:type="pct"/>
            <w:shd w:val="clear" w:color="auto" w:fill="auto"/>
          </w:tcPr>
          <w:p w14:paraId="3C73DDC2" w14:textId="77777777" w:rsidR="002F7302" w:rsidRPr="0016310E" w:rsidRDefault="002F7302" w:rsidP="002F7302">
            <w:pPr>
              <w:pStyle w:val="1"/>
              <w:numPr>
                <w:ilvl w:val="0"/>
                <w:numId w:val="0"/>
              </w:numPr>
              <w:rPr>
                <w:i/>
                <w:kern w:val="2"/>
              </w:rPr>
            </w:pPr>
            <w:r>
              <w:rPr>
                <w:i/>
                <w:kern w:val="2"/>
              </w:rPr>
              <w:t>Monitoring parameters</w:t>
            </w:r>
          </w:p>
        </w:tc>
        <w:tc>
          <w:tcPr>
            <w:tcW w:w="3374" w:type="pct"/>
            <w:shd w:val="clear" w:color="auto" w:fill="auto"/>
          </w:tcPr>
          <w:p w14:paraId="440F2C2D" w14:textId="179E812E" w:rsidR="002F7302" w:rsidRPr="0016310E" w:rsidRDefault="005E49A9" w:rsidP="000767C2">
            <w:pPr>
              <w:pStyle w:val="1"/>
              <w:numPr>
                <w:ilvl w:val="0"/>
                <w:numId w:val="6"/>
              </w:numPr>
              <w:rPr>
                <w:color w:val="auto"/>
                <w:kern w:val="2"/>
              </w:rPr>
            </w:pPr>
            <w:r>
              <w:t>Electricity consumption of the project injection molding machine</w:t>
            </w:r>
          </w:p>
        </w:tc>
      </w:tr>
    </w:tbl>
    <w:p w14:paraId="4F02BFCF" w14:textId="77777777" w:rsidR="006F3F5F" w:rsidRPr="0016310E" w:rsidRDefault="006F3F5F" w:rsidP="002750AC">
      <w:pPr>
        <w:pStyle w:val="1"/>
        <w:numPr>
          <w:ilvl w:val="0"/>
          <w:numId w:val="0"/>
        </w:numPr>
        <w:ind w:left="425" w:hanging="425"/>
      </w:pPr>
    </w:p>
    <w:p w14:paraId="37855572" w14:textId="77777777" w:rsidR="002750AC" w:rsidRPr="0016310E"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16310E" w14:paraId="57E9EA68" w14:textId="77777777" w:rsidTr="00B26B1C">
        <w:tc>
          <w:tcPr>
            <w:tcW w:w="5000" w:type="pct"/>
            <w:shd w:val="clear" w:color="auto" w:fill="17365D"/>
          </w:tcPr>
          <w:p w14:paraId="112BC9D0" w14:textId="77777777" w:rsidR="002750AC" w:rsidRPr="0016310E" w:rsidRDefault="002750AC" w:rsidP="00215D29">
            <w:pPr>
              <w:numPr>
                <w:ilvl w:val="1"/>
                <w:numId w:val="3"/>
              </w:numPr>
              <w:rPr>
                <w:b/>
                <w:szCs w:val="22"/>
              </w:rPr>
            </w:pPr>
            <w:r w:rsidRPr="0016310E">
              <w:rPr>
                <w:b/>
                <w:szCs w:val="22"/>
              </w:rPr>
              <w:t>Eligibility criteria</w:t>
            </w:r>
          </w:p>
        </w:tc>
      </w:tr>
    </w:tbl>
    <w:p w14:paraId="43D27A50" w14:textId="77777777" w:rsidR="002750AC" w:rsidRPr="0016310E" w:rsidRDefault="00301A13" w:rsidP="002750AC">
      <w:pPr>
        <w:pStyle w:val="1"/>
        <w:numPr>
          <w:ilvl w:val="0"/>
          <w:numId w:val="0"/>
        </w:numPr>
        <w:ind w:left="425" w:hanging="425"/>
      </w:pPr>
      <w:r w:rsidRPr="0016310E">
        <w:t xml:space="preserve">This methodology is applicable to projects that satisfy </w:t>
      </w:r>
      <w:proofErr w:type="gramStart"/>
      <w:r w:rsidR="00441B29" w:rsidRPr="0016310E">
        <w:rPr>
          <w:rFonts w:hint="eastAsia"/>
        </w:rPr>
        <w:t>all of</w:t>
      </w:r>
      <w:proofErr w:type="gramEnd"/>
      <w:r w:rsidR="00441B29" w:rsidRPr="0016310E">
        <w:rPr>
          <w:rFonts w:hint="eastAsia"/>
        </w:rPr>
        <w:t xml:space="preserve"> </w:t>
      </w:r>
      <w:r w:rsidRPr="0016310E">
        <w:t xml:space="preserve">the following </w:t>
      </w:r>
      <w:r w:rsidR="00441B29" w:rsidRPr="0016310E">
        <w:t>c</w:t>
      </w:r>
      <w:r w:rsidR="00441B29" w:rsidRPr="0016310E">
        <w:rPr>
          <w:rFonts w:hint="eastAsia"/>
        </w:rPr>
        <w:t>riteria</w:t>
      </w:r>
      <w:r w:rsidRPr="0016310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26"/>
      </w:tblGrid>
      <w:tr w:rsidR="002F7302" w:rsidRPr="0016310E" w14:paraId="2AAF034E" w14:textId="77777777" w:rsidTr="00B26B1C">
        <w:tc>
          <w:tcPr>
            <w:tcW w:w="805" w:type="pct"/>
            <w:tcBorders>
              <w:top w:val="single" w:sz="4" w:space="0" w:color="auto"/>
            </w:tcBorders>
            <w:shd w:val="clear" w:color="auto" w:fill="C6D9F1"/>
          </w:tcPr>
          <w:p w14:paraId="7CAB236E" w14:textId="77777777" w:rsidR="002F7302" w:rsidRPr="0016310E" w:rsidRDefault="002F7302" w:rsidP="002F7302">
            <w:pPr>
              <w:rPr>
                <w:szCs w:val="22"/>
              </w:rPr>
            </w:pPr>
            <w:r w:rsidRPr="0016310E">
              <w:rPr>
                <w:szCs w:val="22"/>
              </w:rPr>
              <w:t>Criteri</w:t>
            </w:r>
            <w:r w:rsidRPr="0016310E">
              <w:rPr>
                <w:rFonts w:hint="eastAsia"/>
                <w:szCs w:val="22"/>
              </w:rPr>
              <w:t>on</w:t>
            </w:r>
            <w:r w:rsidRPr="0016310E">
              <w:rPr>
                <w:szCs w:val="22"/>
              </w:rPr>
              <w:t xml:space="preserve"> 1</w:t>
            </w:r>
          </w:p>
        </w:tc>
        <w:tc>
          <w:tcPr>
            <w:tcW w:w="4195" w:type="pct"/>
            <w:tcBorders>
              <w:top w:val="single" w:sz="4" w:space="0" w:color="auto"/>
            </w:tcBorders>
            <w:shd w:val="clear" w:color="auto" w:fill="auto"/>
          </w:tcPr>
          <w:p w14:paraId="4C7B2108" w14:textId="0480816A" w:rsidR="00403F48" w:rsidRPr="0016310E" w:rsidRDefault="008F5130" w:rsidP="002F7302">
            <w:pPr>
              <w:jc w:val="left"/>
              <w:rPr>
                <w:szCs w:val="22"/>
              </w:rPr>
            </w:pPr>
            <w:r>
              <w:rPr>
                <w:szCs w:val="22"/>
              </w:rPr>
              <w:t>A</w:t>
            </w:r>
            <w:r w:rsidR="00AD76FC">
              <w:rPr>
                <w:szCs w:val="22"/>
              </w:rPr>
              <w:t>ll-electric</w:t>
            </w:r>
            <w:r w:rsidR="00C027FE" w:rsidRPr="00C027FE">
              <w:rPr>
                <w:szCs w:val="22"/>
              </w:rPr>
              <w:t xml:space="preserve"> injection molding machine with a function of power regeneration</w:t>
            </w:r>
            <w:r w:rsidR="00C027FE">
              <w:rPr>
                <w:szCs w:val="22"/>
              </w:rPr>
              <w:t xml:space="preserve"> is </w:t>
            </w:r>
            <w:r>
              <w:rPr>
                <w:szCs w:val="22"/>
              </w:rPr>
              <w:t xml:space="preserve">newly </w:t>
            </w:r>
            <w:r w:rsidR="00C027FE">
              <w:rPr>
                <w:szCs w:val="22"/>
              </w:rPr>
              <w:t>installed.</w:t>
            </w:r>
          </w:p>
        </w:tc>
      </w:tr>
    </w:tbl>
    <w:p w14:paraId="1D89D3B0" w14:textId="77777777" w:rsidR="002750AC" w:rsidRPr="0016310E" w:rsidRDefault="002750AC" w:rsidP="002750AC">
      <w:pPr>
        <w:pStyle w:val="1"/>
        <w:numPr>
          <w:ilvl w:val="0"/>
          <w:numId w:val="0"/>
        </w:numPr>
        <w:ind w:left="425" w:hanging="425"/>
      </w:pPr>
    </w:p>
    <w:p w14:paraId="29038DCC" w14:textId="36CE708B" w:rsidR="0016310E" w:rsidRDefault="0016310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6CDC4813" w14:textId="77777777" w:rsidTr="00B26B1C">
        <w:tc>
          <w:tcPr>
            <w:tcW w:w="5000" w:type="pct"/>
            <w:shd w:val="clear" w:color="auto" w:fill="17365D"/>
          </w:tcPr>
          <w:p w14:paraId="0863846F" w14:textId="77777777" w:rsidR="005066E1" w:rsidRPr="0016310E" w:rsidRDefault="00D93402" w:rsidP="00215D29">
            <w:pPr>
              <w:numPr>
                <w:ilvl w:val="1"/>
                <w:numId w:val="3"/>
              </w:numPr>
              <w:rPr>
                <w:b/>
                <w:szCs w:val="22"/>
              </w:rPr>
            </w:pPr>
            <w:r w:rsidRPr="0016310E">
              <w:rPr>
                <w:rFonts w:hint="eastAsia"/>
                <w:b/>
                <w:szCs w:val="22"/>
              </w:rPr>
              <w:t>Emission Sources</w:t>
            </w:r>
            <w:r w:rsidR="00C5196B" w:rsidRPr="0016310E">
              <w:rPr>
                <w:rFonts w:hint="eastAsia"/>
                <w:b/>
                <w:szCs w:val="22"/>
              </w:rPr>
              <w:t xml:space="preserve"> and GHG</w:t>
            </w:r>
            <w:r w:rsidR="003826FC" w:rsidRPr="0016310E">
              <w:rPr>
                <w:rFonts w:hint="eastAsia"/>
                <w:b/>
                <w:szCs w:val="22"/>
              </w:rPr>
              <w:t xml:space="preserve"> type</w:t>
            </w:r>
            <w:r w:rsidR="00C5196B" w:rsidRPr="0016310E">
              <w:rPr>
                <w:rFonts w:hint="eastAsia"/>
                <w:b/>
                <w:szCs w:val="22"/>
              </w:rPr>
              <w:t>s</w:t>
            </w:r>
          </w:p>
        </w:tc>
      </w:tr>
    </w:tbl>
    <w:p w14:paraId="59C5F21E" w14:textId="77777777" w:rsidR="00E07CF6" w:rsidRPr="0016310E" w:rsidRDefault="00E07CF6" w:rsidP="0016310E">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16310E" w14:paraId="34417FD0" w14:textId="77777777" w:rsidTr="00B26B1C">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19E6546C" w14:textId="77777777" w:rsidR="00AC7E02" w:rsidRPr="0016310E" w:rsidRDefault="00E5231D" w:rsidP="004D6B4B">
            <w:pPr>
              <w:jc w:val="center"/>
              <w:rPr>
                <w:szCs w:val="22"/>
              </w:rPr>
            </w:pPr>
            <w:r w:rsidRPr="0016310E">
              <w:rPr>
                <w:szCs w:val="22"/>
              </w:rPr>
              <w:t>Reference emissions</w:t>
            </w:r>
          </w:p>
        </w:tc>
      </w:tr>
      <w:tr w:rsidR="00AC7E02" w:rsidRPr="0016310E" w14:paraId="74916114" w14:textId="77777777" w:rsidTr="00B26B1C">
        <w:tc>
          <w:tcPr>
            <w:tcW w:w="3805" w:type="pct"/>
            <w:tcBorders>
              <w:top w:val="single" w:sz="4" w:space="0" w:color="auto"/>
              <w:left w:val="single" w:sz="4" w:space="0" w:color="auto"/>
              <w:bottom w:val="single" w:sz="4" w:space="0" w:color="auto"/>
              <w:right w:val="single" w:sz="4" w:space="0" w:color="auto"/>
            </w:tcBorders>
            <w:shd w:val="clear" w:color="auto" w:fill="C6D9F1"/>
          </w:tcPr>
          <w:p w14:paraId="4FD11A77" w14:textId="77777777" w:rsidR="00AC7E02" w:rsidRPr="0016310E" w:rsidRDefault="00AC7E02" w:rsidP="004D6B4B">
            <w:pPr>
              <w:jc w:val="center"/>
              <w:rPr>
                <w:szCs w:val="22"/>
              </w:rPr>
            </w:pPr>
            <w:r w:rsidRPr="0016310E">
              <w:rPr>
                <w:szCs w:val="22"/>
              </w:rPr>
              <w:t>Emission sources</w:t>
            </w:r>
          </w:p>
        </w:tc>
        <w:tc>
          <w:tcPr>
            <w:tcW w:w="1195" w:type="pct"/>
            <w:tcBorders>
              <w:top w:val="single" w:sz="4" w:space="0" w:color="auto"/>
              <w:left w:val="single" w:sz="4" w:space="0" w:color="auto"/>
              <w:bottom w:val="single" w:sz="4" w:space="0" w:color="auto"/>
              <w:right w:val="single" w:sz="4" w:space="0" w:color="auto"/>
            </w:tcBorders>
            <w:shd w:val="clear" w:color="auto" w:fill="C6D9F1"/>
          </w:tcPr>
          <w:p w14:paraId="23F12125"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2F7302" w:rsidRPr="0016310E" w14:paraId="5E652380" w14:textId="77777777" w:rsidTr="00B26B1C">
        <w:tc>
          <w:tcPr>
            <w:tcW w:w="3805" w:type="pct"/>
            <w:tcBorders>
              <w:top w:val="single" w:sz="4" w:space="0" w:color="auto"/>
              <w:left w:val="single" w:sz="4" w:space="0" w:color="auto"/>
              <w:bottom w:val="single" w:sz="4" w:space="0" w:color="auto"/>
              <w:right w:val="single" w:sz="4" w:space="0" w:color="auto"/>
            </w:tcBorders>
          </w:tcPr>
          <w:p w14:paraId="084637E7" w14:textId="59B3E9D3" w:rsidR="002F7302" w:rsidRPr="0016310E" w:rsidRDefault="002F7302" w:rsidP="002F7302">
            <w:pPr>
              <w:rPr>
                <w:szCs w:val="22"/>
              </w:rPr>
            </w:pPr>
            <w:r>
              <w:rPr>
                <w:szCs w:val="22"/>
              </w:rPr>
              <w:t xml:space="preserve">Electricity consumption by </w:t>
            </w:r>
            <w:r w:rsidR="0051444D" w:rsidRPr="00403F48">
              <w:t>hydraulic injection molding machine</w:t>
            </w:r>
          </w:p>
        </w:tc>
        <w:tc>
          <w:tcPr>
            <w:tcW w:w="1195" w:type="pct"/>
            <w:tcBorders>
              <w:top w:val="single" w:sz="4" w:space="0" w:color="auto"/>
              <w:left w:val="single" w:sz="4" w:space="0" w:color="auto"/>
              <w:bottom w:val="single" w:sz="4" w:space="0" w:color="auto"/>
              <w:right w:val="single" w:sz="4" w:space="0" w:color="auto"/>
            </w:tcBorders>
          </w:tcPr>
          <w:p w14:paraId="08DB414F" w14:textId="77777777" w:rsidR="002F7302" w:rsidRPr="0016310E" w:rsidRDefault="002F7302" w:rsidP="002F7302">
            <w:pPr>
              <w:rPr>
                <w:szCs w:val="22"/>
              </w:rPr>
            </w:pPr>
            <w:r>
              <w:rPr>
                <w:szCs w:val="22"/>
              </w:rPr>
              <w:t>CO</w:t>
            </w:r>
            <w:r>
              <w:rPr>
                <w:szCs w:val="22"/>
                <w:vertAlign w:val="subscript"/>
              </w:rPr>
              <w:t>2</w:t>
            </w:r>
          </w:p>
        </w:tc>
      </w:tr>
      <w:tr w:rsidR="00AC7E02" w:rsidRPr="0016310E" w14:paraId="21454391" w14:textId="77777777" w:rsidTr="00B26B1C">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690FE15B" w14:textId="77777777" w:rsidR="00AC7E02" w:rsidRPr="0016310E" w:rsidRDefault="00AC7E02" w:rsidP="004D6B4B">
            <w:pPr>
              <w:jc w:val="center"/>
              <w:rPr>
                <w:szCs w:val="22"/>
              </w:rPr>
            </w:pPr>
            <w:r w:rsidRPr="0016310E">
              <w:rPr>
                <w:szCs w:val="22"/>
              </w:rPr>
              <w:t xml:space="preserve">Project </w:t>
            </w:r>
            <w:r w:rsidR="00BA5DE7" w:rsidRPr="0016310E">
              <w:rPr>
                <w:rFonts w:hint="eastAsia"/>
                <w:szCs w:val="22"/>
              </w:rPr>
              <w:t>emissions</w:t>
            </w:r>
          </w:p>
        </w:tc>
      </w:tr>
      <w:tr w:rsidR="00AC7E02" w:rsidRPr="0016310E" w14:paraId="3BC97766" w14:textId="77777777" w:rsidTr="00B26B1C">
        <w:tc>
          <w:tcPr>
            <w:tcW w:w="3805" w:type="pct"/>
            <w:tcBorders>
              <w:top w:val="single" w:sz="4" w:space="0" w:color="auto"/>
              <w:left w:val="single" w:sz="4" w:space="0" w:color="auto"/>
              <w:bottom w:val="single" w:sz="4" w:space="0" w:color="auto"/>
              <w:right w:val="single" w:sz="4" w:space="0" w:color="auto"/>
            </w:tcBorders>
            <w:shd w:val="clear" w:color="auto" w:fill="C6D9F1"/>
          </w:tcPr>
          <w:p w14:paraId="793DCD8A" w14:textId="77777777" w:rsidR="00AC7E02" w:rsidRPr="0016310E" w:rsidRDefault="00AC7E02" w:rsidP="004D6B4B">
            <w:pPr>
              <w:jc w:val="center"/>
              <w:rPr>
                <w:szCs w:val="22"/>
              </w:rPr>
            </w:pPr>
            <w:r w:rsidRPr="0016310E">
              <w:rPr>
                <w:szCs w:val="22"/>
              </w:rPr>
              <w:t>Emission sources</w:t>
            </w:r>
          </w:p>
        </w:tc>
        <w:tc>
          <w:tcPr>
            <w:tcW w:w="1195" w:type="pct"/>
            <w:tcBorders>
              <w:top w:val="single" w:sz="4" w:space="0" w:color="auto"/>
              <w:left w:val="single" w:sz="4" w:space="0" w:color="auto"/>
              <w:bottom w:val="single" w:sz="4" w:space="0" w:color="auto"/>
              <w:right w:val="single" w:sz="4" w:space="0" w:color="auto"/>
            </w:tcBorders>
            <w:shd w:val="clear" w:color="auto" w:fill="C6D9F1"/>
          </w:tcPr>
          <w:p w14:paraId="53032C5B"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2F7302" w:rsidRPr="0016310E" w14:paraId="132C040A" w14:textId="77777777" w:rsidTr="00B26B1C">
        <w:tc>
          <w:tcPr>
            <w:tcW w:w="3805" w:type="pct"/>
            <w:tcBorders>
              <w:top w:val="single" w:sz="4" w:space="0" w:color="auto"/>
              <w:left w:val="single" w:sz="4" w:space="0" w:color="auto"/>
              <w:bottom w:val="single" w:sz="4" w:space="0" w:color="auto"/>
              <w:right w:val="single" w:sz="4" w:space="0" w:color="auto"/>
            </w:tcBorders>
          </w:tcPr>
          <w:p w14:paraId="3AF663D0" w14:textId="20BA5C92" w:rsidR="002F7302" w:rsidRPr="0016310E" w:rsidRDefault="002F7302" w:rsidP="002F7302">
            <w:pPr>
              <w:rPr>
                <w:szCs w:val="22"/>
              </w:rPr>
            </w:pPr>
            <w:r>
              <w:rPr>
                <w:szCs w:val="22"/>
              </w:rPr>
              <w:t xml:space="preserve">Electricity consumption by </w:t>
            </w:r>
            <w:r w:rsidR="00AD76FC">
              <w:rPr>
                <w:szCs w:val="22"/>
              </w:rPr>
              <w:t>all-electric</w:t>
            </w:r>
            <w:r w:rsidR="0051444D">
              <w:rPr>
                <w:szCs w:val="22"/>
              </w:rPr>
              <w:t xml:space="preserve"> </w:t>
            </w:r>
            <w:r w:rsidR="0051444D" w:rsidRPr="00403F48">
              <w:t>injection molding machine</w:t>
            </w:r>
          </w:p>
        </w:tc>
        <w:tc>
          <w:tcPr>
            <w:tcW w:w="1195" w:type="pct"/>
            <w:tcBorders>
              <w:top w:val="single" w:sz="4" w:space="0" w:color="auto"/>
              <w:left w:val="single" w:sz="4" w:space="0" w:color="auto"/>
              <w:bottom w:val="single" w:sz="4" w:space="0" w:color="auto"/>
              <w:right w:val="single" w:sz="4" w:space="0" w:color="auto"/>
            </w:tcBorders>
          </w:tcPr>
          <w:p w14:paraId="196001A6" w14:textId="77777777" w:rsidR="002F7302" w:rsidRPr="0016310E" w:rsidRDefault="002F7302" w:rsidP="002F7302">
            <w:pPr>
              <w:rPr>
                <w:szCs w:val="22"/>
              </w:rPr>
            </w:pPr>
            <w:r>
              <w:rPr>
                <w:szCs w:val="22"/>
              </w:rPr>
              <w:t>CO</w:t>
            </w:r>
            <w:r>
              <w:rPr>
                <w:szCs w:val="22"/>
                <w:vertAlign w:val="subscript"/>
              </w:rPr>
              <w:t>2</w:t>
            </w:r>
          </w:p>
        </w:tc>
      </w:tr>
    </w:tbl>
    <w:p w14:paraId="1AA3B918" w14:textId="77777777" w:rsidR="008C44E7" w:rsidRDefault="008C44E7" w:rsidP="005066E1">
      <w:pPr>
        <w:pStyle w:val="1"/>
        <w:numPr>
          <w:ilvl w:val="0"/>
          <w:numId w:val="0"/>
        </w:numPr>
      </w:pPr>
    </w:p>
    <w:p w14:paraId="16008FCF" w14:textId="77777777" w:rsidR="0016310E" w:rsidRPr="0016310E" w:rsidRDefault="0016310E"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598C8FCF" w14:textId="77777777" w:rsidTr="00B26B1C">
        <w:tc>
          <w:tcPr>
            <w:tcW w:w="5000" w:type="pct"/>
            <w:shd w:val="clear" w:color="auto" w:fill="17365D"/>
          </w:tcPr>
          <w:p w14:paraId="2E99B39E" w14:textId="77777777" w:rsidR="005066E1" w:rsidRPr="0016310E" w:rsidRDefault="00042178" w:rsidP="00215D29">
            <w:pPr>
              <w:numPr>
                <w:ilvl w:val="1"/>
                <w:numId w:val="3"/>
              </w:numPr>
              <w:rPr>
                <w:b/>
                <w:szCs w:val="22"/>
              </w:rPr>
            </w:pPr>
            <w:r w:rsidRPr="0016310E">
              <w:rPr>
                <w:rFonts w:hint="eastAsia"/>
                <w:b/>
                <w:szCs w:val="22"/>
              </w:rPr>
              <w:t xml:space="preserve">Establishment and calculation of </w:t>
            </w:r>
            <w:r w:rsidR="00E5231D" w:rsidRPr="0016310E">
              <w:rPr>
                <w:rFonts w:hint="eastAsia"/>
                <w:b/>
                <w:szCs w:val="22"/>
              </w:rPr>
              <w:t>reference emissions</w:t>
            </w:r>
          </w:p>
        </w:tc>
      </w:tr>
    </w:tbl>
    <w:p w14:paraId="0075E91F" w14:textId="77777777" w:rsidR="00042178" w:rsidRPr="0016310E" w:rsidRDefault="004B6D14" w:rsidP="00042178">
      <w:pPr>
        <w:rPr>
          <w:b/>
          <w:szCs w:val="22"/>
        </w:rPr>
      </w:pPr>
      <w:r w:rsidRPr="0016310E">
        <w:rPr>
          <w:rFonts w:hint="eastAsia"/>
          <w:b/>
          <w:szCs w:val="22"/>
        </w:rPr>
        <w:t>F</w:t>
      </w:r>
      <w:r w:rsidR="00042178" w:rsidRPr="0016310E">
        <w:rPr>
          <w:rFonts w:hint="eastAsia"/>
          <w:b/>
          <w:szCs w:val="22"/>
        </w:rPr>
        <w:t xml:space="preserve">.1. Establishment of </w:t>
      </w:r>
      <w:r w:rsidR="00E5231D" w:rsidRPr="0016310E">
        <w:rPr>
          <w:b/>
          <w:szCs w:val="22"/>
        </w:rPr>
        <w:t>reference emissions</w:t>
      </w:r>
    </w:p>
    <w:p w14:paraId="467CF379" w14:textId="77777777" w:rsidR="0016310E" w:rsidRPr="0016310E"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0BFF90D5" w14:textId="77777777" w:rsidTr="00B26B1C">
        <w:tc>
          <w:tcPr>
            <w:tcW w:w="5000" w:type="pct"/>
          </w:tcPr>
          <w:p w14:paraId="42953F0D" w14:textId="2F8F5097" w:rsidR="00EE3648" w:rsidRDefault="00EE3648" w:rsidP="00EE3648">
            <w:pPr>
              <w:rPr>
                <w:szCs w:val="22"/>
              </w:rPr>
            </w:pPr>
            <w:r w:rsidRPr="00EE3648">
              <w:rPr>
                <w:szCs w:val="22"/>
              </w:rPr>
              <w:t>Reduction rat</w:t>
            </w:r>
            <w:r w:rsidR="00DD16F5">
              <w:rPr>
                <w:szCs w:val="22"/>
              </w:rPr>
              <w:t>io</w:t>
            </w:r>
            <w:r w:rsidRPr="00EE3648">
              <w:rPr>
                <w:szCs w:val="22"/>
              </w:rPr>
              <w:t xml:space="preserve"> of specific electricity consumption of the project injection molding machine</w:t>
            </w:r>
            <w:r w:rsidR="00A8585A">
              <w:rPr>
                <w:szCs w:val="22"/>
              </w:rPr>
              <w:t xml:space="preserve"> to the reference </w:t>
            </w:r>
            <w:r w:rsidR="00A8585A" w:rsidRPr="00EE3648">
              <w:rPr>
                <w:szCs w:val="22"/>
              </w:rPr>
              <w:t>injection molding machine</w:t>
            </w:r>
            <w:r w:rsidR="00A8585A">
              <w:rPr>
                <w:szCs w:val="22"/>
              </w:rPr>
              <w:t xml:space="preserve"> (RR</w:t>
            </w:r>
            <w:r>
              <w:rPr>
                <w:szCs w:val="22"/>
              </w:rPr>
              <w:t>)</w:t>
            </w:r>
            <w:r w:rsidR="00951A51" w:rsidRPr="00EE3648">
              <w:rPr>
                <w:szCs w:val="22"/>
              </w:rPr>
              <w:t xml:space="preserve"> </w:t>
            </w:r>
            <w:r w:rsidRPr="00EE3648">
              <w:rPr>
                <w:szCs w:val="22"/>
              </w:rPr>
              <w:t xml:space="preserve">is provided as a default value in this methodology and is conservatively set </w:t>
            </w:r>
            <w:r w:rsidRPr="000B703C">
              <w:rPr>
                <w:i/>
                <w:szCs w:val="22"/>
              </w:rPr>
              <w:t>ex ante</w:t>
            </w:r>
            <w:r w:rsidRPr="00EE3648">
              <w:rPr>
                <w:szCs w:val="22"/>
              </w:rPr>
              <w:t xml:space="preserve"> in the following manner to ensure the net emission reductions.</w:t>
            </w:r>
          </w:p>
          <w:p w14:paraId="6876FD97" w14:textId="211D99D5" w:rsidR="007C2A41" w:rsidRPr="00EE3648" w:rsidRDefault="007C2A41" w:rsidP="00EE3648">
            <w:pPr>
              <w:rPr>
                <w:szCs w:val="22"/>
              </w:rPr>
            </w:pPr>
            <w:r>
              <w:rPr>
                <w:szCs w:val="22"/>
              </w:rPr>
              <w:t>S</w:t>
            </w:r>
            <w:r w:rsidRPr="007C2A41">
              <w:rPr>
                <w:szCs w:val="22"/>
              </w:rPr>
              <w:t>pecific electricity consumption</w:t>
            </w:r>
            <w:r>
              <w:rPr>
                <w:szCs w:val="22"/>
              </w:rPr>
              <w:t xml:space="preserve"> (</w:t>
            </w:r>
            <w:r w:rsidR="00C76B86">
              <w:rPr>
                <w:rFonts w:hint="eastAsia"/>
                <w:szCs w:val="22"/>
              </w:rPr>
              <w:t>S</w:t>
            </w:r>
            <w:r>
              <w:rPr>
                <w:szCs w:val="22"/>
              </w:rPr>
              <w:t xml:space="preserve">EC) is an electricity consumption of </w:t>
            </w:r>
            <w:r w:rsidRPr="00EE3648">
              <w:rPr>
                <w:szCs w:val="22"/>
              </w:rPr>
              <w:t>injection molding machine</w:t>
            </w:r>
            <w:r>
              <w:rPr>
                <w:szCs w:val="22"/>
              </w:rPr>
              <w:t xml:space="preserve"> to </w:t>
            </w:r>
            <w:r w:rsidR="00810A92">
              <w:rPr>
                <w:szCs w:val="22"/>
              </w:rPr>
              <w:t>manufactur</w:t>
            </w:r>
            <w:r>
              <w:rPr>
                <w:szCs w:val="22"/>
              </w:rPr>
              <w:t xml:space="preserve">e one unit of </w:t>
            </w:r>
            <w:r w:rsidR="00810A92">
              <w:rPr>
                <w:szCs w:val="22"/>
              </w:rPr>
              <w:t xml:space="preserve">plastic product. </w:t>
            </w:r>
            <w:r w:rsidR="00C76B86">
              <w:rPr>
                <w:rFonts w:hint="eastAsia"/>
                <w:szCs w:val="22"/>
              </w:rPr>
              <w:t>S</w:t>
            </w:r>
            <w:r w:rsidR="00810A92">
              <w:rPr>
                <w:szCs w:val="22"/>
              </w:rPr>
              <w:t xml:space="preserve">EC can be estimated from design specification of </w:t>
            </w:r>
            <w:r w:rsidR="00810A92" w:rsidRPr="00EE3648">
              <w:rPr>
                <w:szCs w:val="22"/>
              </w:rPr>
              <w:t>injection molding machine</w:t>
            </w:r>
            <w:r w:rsidR="00810A92">
              <w:rPr>
                <w:szCs w:val="22"/>
              </w:rPr>
              <w:t>.</w:t>
            </w:r>
          </w:p>
          <w:p w14:paraId="72A0AFB5" w14:textId="77777777" w:rsidR="00EE3648" w:rsidRPr="00EE3648" w:rsidRDefault="00EE3648" w:rsidP="00EE3648">
            <w:pPr>
              <w:rPr>
                <w:szCs w:val="22"/>
              </w:rPr>
            </w:pPr>
          </w:p>
          <w:p w14:paraId="1981B8BA" w14:textId="47D6A93A" w:rsidR="00EE3648" w:rsidRPr="00BE32F5" w:rsidRDefault="00EE3648" w:rsidP="000B703C">
            <w:pPr>
              <w:pStyle w:val="afa"/>
              <w:numPr>
                <w:ilvl w:val="0"/>
                <w:numId w:val="5"/>
              </w:numPr>
              <w:ind w:leftChars="0"/>
              <w:rPr>
                <w:szCs w:val="22"/>
              </w:rPr>
            </w:pPr>
            <w:r w:rsidRPr="00810A92">
              <w:rPr>
                <w:szCs w:val="22"/>
              </w:rPr>
              <w:t xml:space="preserve">The </w:t>
            </w:r>
            <w:r w:rsidR="00826761" w:rsidRPr="00810A92">
              <w:rPr>
                <w:szCs w:val="22"/>
              </w:rPr>
              <w:t>hydraulic injection molding machine</w:t>
            </w:r>
            <w:r w:rsidRPr="00810A92">
              <w:rPr>
                <w:szCs w:val="22"/>
              </w:rPr>
              <w:t xml:space="preserve"> </w:t>
            </w:r>
            <w:r w:rsidR="007C2A41" w:rsidRPr="00810A92">
              <w:rPr>
                <w:szCs w:val="22"/>
              </w:rPr>
              <w:t xml:space="preserve">is </w:t>
            </w:r>
            <w:r w:rsidRPr="00810A92">
              <w:rPr>
                <w:szCs w:val="22"/>
              </w:rPr>
              <w:t xml:space="preserve">currently available </w:t>
            </w:r>
            <w:r w:rsidR="007C2A41" w:rsidRPr="00810A92">
              <w:rPr>
                <w:szCs w:val="22"/>
              </w:rPr>
              <w:t xml:space="preserve">and commonly used </w:t>
            </w:r>
            <w:r w:rsidRPr="00810A92">
              <w:rPr>
                <w:szCs w:val="22"/>
              </w:rPr>
              <w:t xml:space="preserve">in the </w:t>
            </w:r>
            <w:r w:rsidR="00826761" w:rsidRPr="002649C3">
              <w:rPr>
                <w:szCs w:val="22"/>
              </w:rPr>
              <w:t>Indonesian</w:t>
            </w:r>
            <w:r w:rsidRPr="002649C3">
              <w:rPr>
                <w:szCs w:val="22"/>
              </w:rPr>
              <w:t xml:space="preserve"> market</w:t>
            </w:r>
            <w:r w:rsidR="007C2A41" w:rsidRPr="002649C3">
              <w:rPr>
                <w:szCs w:val="22"/>
              </w:rPr>
              <w:t>. Therefore, it</w:t>
            </w:r>
            <w:r w:rsidRPr="002649C3">
              <w:rPr>
                <w:szCs w:val="22"/>
              </w:rPr>
              <w:t xml:space="preserve"> is determined as a reference </w:t>
            </w:r>
            <w:r w:rsidR="008B752C" w:rsidRPr="002649C3">
              <w:rPr>
                <w:szCs w:val="22"/>
              </w:rPr>
              <w:t>injection molding machine</w:t>
            </w:r>
            <w:r w:rsidRPr="00BE32F5">
              <w:rPr>
                <w:szCs w:val="22"/>
              </w:rPr>
              <w:t>.</w:t>
            </w:r>
          </w:p>
          <w:p w14:paraId="7739275E" w14:textId="06542484" w:rsidR="00810A92" w:rsidRDefault="00C76B86" w:rsidP="00810A92">
            <w:pPr>
              <w:pStyle w:val="afa"/>
              <w:numPr>
                <w:ilvl w:val="0"/>
                <w:numId w:val="5"/>
              </w:numPr>
              <w:ind w:leftChars="0"/>
              <w:rPr>
                <w:szCs w:val="22"/>
              </w:rPr>
            </w:pPr>
            <w:r>
              <w:rPr>
                <w:rFonts w:hint="eastAsia"/>
                <w:szCs w:val="22"/>
              </w:rPr>
              <w:t>S</w:t>
            </w:r>
            <w:r w:rsidR="00810A92" w:rsidRPr="00810A92">
              <w:rPr>
                <w:szCs w:val="22"/>
              </w:rPr>
              <w:t>EC</w:t>
            </w:r>
            <w:r w:rsidR="00810A92">
              <w:rPr>
                <w:szCs w:val="22"/>
              </w:rPr>
              <w:t xml:space="preserve"> data of </w:t>
            </w:r>
            <w:r w:rsidR="00AD76FC">
              <w:rPr>
                <w:szCs w:val="22"/>
              </w:rPr>
              <w:t>all-electric</w:t>
            </w:r>
            <w:r w:rsidR="00810A92" w:rsidRPr="00810A92">
              <w:rPr>
                <w:szCs w:val="22"/>
              </w:rPr>
              <w:t xml:space="preserve"> injection molding machine</w:t>
            </w:r>
            <w:r w:rsidR="00810A92">
              <w:rPr>
                <w:szCs w:val="22"/>
              </w:rPr>
              <w:t xml:space="preserve"> (</w:t>
            </w:r>
            <w:r>
              <w:rPr>
                <w:rFonts w:hint="eastAsia"/>
                <w:szCs w:val="22"/>
              </w:rPr>
              <w:t>S</w:t>
            </w:r>
            <w:r w:rsidR="00810A92">
              <w:rPr>
                <w:szCs w:val="22"/>
              </w:rPr>
              <w:t>EC</w:t>
            </w:r>
            <w:r w:rsidR="00810A92" w:rsidRPr="000B703C">
              <w:rPr>
                <w:szCs w:val="22"/>
                <w:vertAlign w:val="subscript"/>
              </w:rPr>
              <w:t>PJ</w:t>
            </w:r>
            <w:r w:rsidR="00810A92">
              <w:rPr>
                <w:szCs w:val="22"/>
              </w:rPr>
              <w:t xml:space="preserve">) and </w:t>
            </w:r>
            <w:r w:rsidR="00810A92" w:rsidRPr="00810A92">
              <w:rPr>
                <w:szCs w:val="22"/>
              </w:rPr>
              <w:t>hydraulic injection molding machine</w:t>
            </w:r>
            <w:r w:rsidR="00810A92">
              <w:rPr>
                <w:szCs w:val="22"/>
              </w:rPr>
              <w:t xml:space="preserve"> (</w:t>
            </w:r>
            <w:r w:rsidR="00DE76F9">
              <w:rPr>
                <w:rFonts w:hint="eastAsia"/>
                <w:szCs w:val="22"/>
              </w:rPr>
              <w:t>S</w:t>
            </w:r>
            <w:r w:rsidR="00810A92">
              <w:rPr>
                <w:szCs w:val="22"/>
              </w:rPr>
              <w:t>EC</w:t>
            </w:r>
            <w:r w:rsidR="00810A92" w:rsidRPr="000B703C">
              <w:rPr>
                <w:szCs w:val="22"/>
                <w:vertAlign w:val="subscript"/>
              </w:rPr>
              <w:t>RE</w:t>
            </w:r>
            <w:r w:rsidR="00810A92">
              <w:rPr>
                <w:szCs w:val="22"/>
              </w:rPr>
              <w:t xml:space="preserve">) to manufacture </w:t>
            </w:r>
            <w:r w:rsidR="00CF45E4">
              <w:rPr>
                <w:szCs w:val="22"/>
              </w:rPr>
              <w:t>several t</w:t>
            </w:r>
            <w:r w:rsidR="00810A92">
              <w:rPr>
                <w:szCs w:val="22"/>
              </w:rPr>
              <w:t>ype</w:t>
            </w:r>
            <w:r w:rsidR="00CF45E4">
              <w:rPr>
                <w:szCs w:val="22"/>
              </w:rPr>
              <w:t>s</w:t>
            </w:r>
            <w:r w:rsidR="00810A92">
              <w:rPr>
                <w:szCs w:val="22"/>
              </w:rPr>
              <w:t xml:space="preserve"> of plastic products have been collected from the manufacturer of </w:t>
            </w:r>
            <w:r w:rsidR="00810A92" w:rsidRPr="00810A92">
              <w:rPr>
                <w:szCs w:val="22"/>
              </w:rPr>
              <w:t>injection molding machine</w:t>
            </w:r>
            <w:r w:rsidR="00810A92">
              <w:rPr>
                <w:szCs w:val="22"/>
              </w:rPr>
              <w:t>.</w:t>
            </w:r>
          </w:p>
          <w:p w14:paraId="25111FD3" w14:textId="080E577A" w:rsidR="00876BFF" w:rsidRPr="00810A92" w:rsidRDefault="002649C3" w:rsidP="000B703C">
            <w:pPr>
              <w:pStyle w:val="afa"/>
              <w:numPr>
                <w:ilvl w:val="0"/>
                <w:numId w:val="5"/>
              </w:numPr>
              <w:ind w:leftChars="0"/>
              <w:rPr>
                <w:szCs w:val="22"/>
              </w:rPr>
            </w:pPr>
            <w:r>
              <w:rPr>
                <w:szCs w:val="22"/>
              </w:rPr>
              <w:t xml:space="preserve">Values of </w:t>
            </w:r>
            <w:r w:rsidR="00876BFF">
              <w:rPr>
                <w:szCs w:val="22"/>
              </w:rPr>
              <w:t xml:space="preserve">RR </w:t>
            </w:r>
            <w:r>
              <w:rPr>
                <w:szCs w:val="22"/>
              </w:rPr>
              <w:t>are</w:t>
            </w:r>
            <w:r w:rsidR="00876BFF">
              <w:rPr>
                <w:szCs w:val="22"/>
              </w:rPr>
              <w:t xml:space="preserve"> </w:t>
            </w:r>
            <w:r w:rsidR="00876BFF" w:rsidRPr="00810A92">
              <w:rPr>
                <w:szCs w:val="22"/>
              </w:rPr>
              <w:t xml:space="preserve">derived as a ratio of </w:t>
            </w:r>
            <w:r w:rsidR="00DE76F9">
              <w:rPr>
                <w:rFonts w:hint="eastAsia"/>
                <w:szCs w:val="22"/>
              </w:rPr>
              <w:t>S</w:t>
            </w:r>
            <w:r>
              <w:rPr>
                <w:szCs w:val="22"/>
              </w:rPr>
              <w:t>EC</w:t>
            </w:r>
            <w:r w:rsidRPr="00846C3A">
              <w:rPr>
                <w:szCs w:val="22"/>
                <w:vertAlign w:val="subscript"/>
              </w:rPr>
              <w:t>PJ</w:t>
            </w:r>
            <w:r w:rsidR="00876BFF" w:rsidRPr="00810A92">
              <w:rPr>
                <w:szCs w:val="22"/>
              </w:rPr>
              <w:t xml:space="preserve"> to </w:t>
            </w:r>
            <w:r w:rsidR="00DE76F9">
              <w:rPr>
                <w:rFonts w:hint="eastAsia"/>
                <w:szCs w:val="22"/>
              </w:rPr>
              <w:t>S</w:t>
            </w:r>
            <w:r>
              <w:rPr>
                <w:szCs w:val="22"/>
              </w:rPr>
              <w:t>EC</w:t>
            </w:r>
            <w:r w:rsidRPr="00846C3A">
              <w:rPr>
                <w:szCs w:val="22"/>
                <w:vertAlign w:val="subscript"/>
              </w:rPr>
              <w:t>RE</w:t>
            </w:r>
            <w:r>
              <w:rPr>
                <w:szCs w:val="22"/>
              </w:rPr>
              <w:t xml:space="preserve"> </w:t>
            </w:r>
            <w:r w:rsidR="00CF45E4">
              <w:rPr>
                <w:szCs w:val="22"/>
              </w:rPr>
              <w:t>to manufacture the same type of plastic product</w:t>
            </w:r>
            <w:r>
              <w:rPr>
                <w:szCs w:val="22"/>
              </w:rPr>
              <w:t>. T</w:t>
            </w:r>
            <w:r w:rsidRPr="00EE3648">
              <w:rPr>
                <w:szCs w:val="22"/>
              </w:rPr>
              <w:t xml:space="preserve">he </w:t>
            </w:r>
            <w:r w:rsidR="006415E5">
              <w:rPr>
                <w:szCs w:val="22"/>
              </w:rPr>
              <w:t>maxi</w:t>
            </w:r>
            <w:r w:rsidRPr="00EE3648">
              <w:rPr>
                <w:szCs w:val="22"/>
              </w:rPr>
              <w:t xml:space="preserve">mum </w:t>
            </w:r>
            <w:r>
              <w:rPr>
                <w:szCs w:val="22"/>
              </w:rPr>
              <w:t>R</w:t>
            </w:r>
            <w:r w:rsidRPr="00EE3648">
              <w:rPr>
                <w:szCs w:val="22"/>
              </w:rPr>
              <w:t>R value</w:t>
            </w:r>
            <w:r>
              <w:rPr>
                <w:szCs w:val="22"/>
              </w:rPr>
              <w:t xml:space="preserve"> amongst </w:t>
            </w:r>
            <w:r w:rsidR="00CF45E4">
              <w:rPr>
                <w:szCs w:val="22"/>
              </w:rPr>
              <w:t xml:space="preserve">the RR values derived as above </w:t>
            </w:r>
            <w:r>
              <w:rPr>
                <w:szCs w:val="22"/>
              </w:rPr>
              <w:t xml:space="preserve">is selected and set as a default RR value in a conservative manner to ensure net emission reductions, which is described </w:t>
            </w:r>
            <w:r w:rsidRPr="00A17FF9">
              <w:rPr>
                <w:szCs w:val="22"/>
              </w:rPr>
              <w:t>in Section I</w:t>
            </w:r>
            <w:r>
              <w:rPr>
                <w:szCs w:val="22"/>
              </w:rPr>
              <w:t xml:space="preserve"> </w:t>
            </w:r>
            <w:r w:rsidRPr="00A17FF9">
              <w:rPr>
                <w:szCs w:val="22"/>
              </w:rPr>
              <w:t>of this methodology</w:t>
            </w:r>
            <w:r>
              <w:rPr>
                <w:szCs w:val="22"/>
              </w:rPr>
              <w:t>.</w:t>
            </w:r>
          </w:p>
          <w:p w14:paraId="43075974" w14:textId="77777777" w:rsidR="0016310E" w:rsidRPr="00951A51" w:rsidRDefault="0016310E" w:rsidP="000B703C">
            <w:pPr>
              <w:jc w:val="left"/>
              <w:rPr>
                <w:szCs w:val="22"/>
              </w:rPr>
            </w:pPr>
          </w:p>
        </w:tc>
      </w:tr>
    </w:tbl>
    <w:p w14:paraId="6663FF1D" w14:textId="77777777" w:rsidR="00042178" w:rsidRPr="0016310E" w:rsidRDefault="00042178" w:rsidP="006C3D56">
      <w:pPr>
        <w:rPr>
          <w:szCs w:val="22"/>
        </w:rPr>
      </w:pPr>
    </w:p>
    <w:p w14:paraId="253EDD2B" w14:textId="77777777" w:rsidR="0026094E" w:rsidRPr="0016310E" w:rsidRDefault="004B6D14" w:rsidP="006C3D56">
      <w:pPr>
        <w:rPr>
          <w:b/>
          <w:szCs w:val="22"/>
        </w:rPr>
      </w:pPr>
      <w:r w:rsidRPr="0016310E">
        <w:rPr>
          <w:rFonts w:hint="eastAsia"/>
          <w:b/>
          <w:szCs w:val="22"/>
        </w:rPr>
        <w:t>F</w:t>
      </w:r>
      <w:r w:rsidR="0026094E" w:rsidRPr="0016310E">
        <w:rPr>
          <w:rFonts w:hint="eastAsia"/>
          <w:b/>
          <w:szCs w:val="22"/>
        </w:rPr>
        <w:t>.</w:t>
      </w:r>
      <w:r w:rsidR="00042178" w:rsidRPr="0016310E">
        <w:rPr>
          <w:rFonts w:hint="eastAsia"/>
          <w:b/>
          <w:szCs w:val="22"/>
        </w:rPr>
        <w:t>2</w:t>
      </w:r>
      <w:r w:rsidR="0026094E" w:rsidRPr="0016310E">
        <w:rPr>
          <w:rFonts w:hint="eastAsia"/>
          <w:b/>
          <w:szCs w:val="22"/>
        </w:rPr>
        <w:t xml:space="preserve">. </w:t>
      </w:r>
      <w:r w:rsidR="00042178" w:rsidRPr="0016310E">
        <w:rPr>
          <w:rFonts w:hint="eastAsia"/>
          <w:b/>
          <w:szCs w:val="22"/>
        </w:rPr>
        <w:t>C</w:t>
      </w:r>
      <w:r w:rsidR="0026094E" w:rsidRPr="0016310E">
        <w:rPr>
          <w:rFonts w:hint="eastAsia"/>
          <w:b/>
          <w:szCs w:val="22"/>
        </w:rPr>
        <w:t>alculation</w:t>
      </w:r>
      <w:r w:rsidR="00042178" w:rsidRPr="0016310E">
        <w:rPr>
          <w:rFonts w:hint="eastAsia"/>
          <w:b/>
          <w:szCs w:val="22"/>
        </w:rPr>
        <w:t xml:space="preserve"> of </w:t>
      </w:r>
      <w:r w:rsidR="00E5231D" w:rsidRPr="0016310E">
        <w:rPr>
          <w:b/>
          <w:szCs w:val="22"/>
        </w:rPr>
        <w:t>reference emissions</w:t>
      </w:r>
    </w:p>
    <w:p w14:paraId="77B78818"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782D5CE4" w14:textId="77777777" w:rsidTr="00FC2BC0">
        <w:tc>
          <w:tcPr>
            <w:tcW w:w="8702" w:type="dxa"/>
          </w:tcPr>
          <w:p w14:paraId="56ECF9E0" w14:textId="5ECB2B37" w:rsidR="002F7302" w:rsidRPr="002F7302" w:rsidRDefault="00E8635A" w:rsidP="002F7302">
            <m:oMathPara>
              <m:oMath>
                <m:sSub>
                  <m:sSubPr>
                    <m:ctrlPr>
                      <w:rPr>
                        <w:rFonts w:ascii="Cambria Math" w:hAnsi="Cambria Math"/>
                      </w:rPr>
                    </m:ctrlPr>
                  </m:sSubPr>
                  <m:e>
                    <m:r>
                      <w:rPr>
                        <w:rFonts w:ascii="Cambria Math" w:hAnsi="Cambria Math"/>
                      </w:rPr>
                      <m:t>RE</m:t>
                    </m:r>
                  </m:e>
                  <m:sub>
                    <m:r>
                      <w:rPr>
                        <w:rFonts w:ascii="Cambria Math" w:hAnsi="Cambria Math"/>
                      </w:rPr>
                      <m:t>p</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EC</m:t>
                            </m:r>
                          </m:e>
                          <m:sub>
                            <m:r>
                              <w:rPr>
                                <w:rFonts w:ascii="Cambria Math" w:hAnsi="Cambria Math"/>
                              </w:rPr>
                              <m:t>PJ,i,p</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RR</m:t>
                            </m:r>
                          </m:den>
                        </m:f>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elec</m:t>
                            </m:r>
                          </m:sub>
                        </m:sSub>
                        <m:r>
                          <w:rPr>
                            <w:rFonts w:ascii="Cambria Math" w:hAnsi="Cambria Math"/>
                          </w:rPr>
                          <m:t xml:space="preserve"> </m:t>
                        </m:r>
                      </m:e>
                    </m:d>
                  </m:e>
                </m:nary>
                <m:r>
                  <w:rPr>
                    <w:rFonts w:ascii="Cambria Math" w:hAnsi="Cambria Math"/>
                  </w:rPr>
                  <m:t xml:space="preserve"> </m:t>
                </m:r>
              </m:oMath>
            </m:oMathPara>
          </w:p>
          <w:p w14:paraId="5C3AFBA3" w14:textId="77777777" w:rsidR="002F7302" w:rsidRDefault="002F7302" w:rsidP="002F7302"/>
          <w:p w14:paraId="5DD48051" w14:textId="77777777" w:rsidR="002F7302" w:rsidRDefault="002F7302" w:rsidP="002F7302">
            <w:pPr>
              <w:tabs>
                <w:tab w:val="left" w:pos="1405"/>
              </w:tabs>
              <w:jc w:val="left"/>
            </w:pPr>
            <w:r>
              <w:t>Where:</w:t>
            </w:r>
          </w:p>
          <w:tbl>
            <w:tblPr>
              <w:tblStyle w:val="af6"/>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6776"/>
            </w:tblGrid>
            <w:tr w:rsidR="002F7302" w14:paraId="60EF65A7" w14:textId="77777777" w:rsidTr="002F7302">
              <w:trPr>
                <w:trHeight w:val="509"/>
              </w:trPr>
              <w:tc>
                <w:tcPr>
                  <w:tcW w:w="1554" w:type="dxa"/>
                  <w:hideMark/>
                </w:tcPr>
                <w:p w14:paraId="3C4B970A" w14:textId="77777777" w:rsidR="002F7302" w:rsidRPr="002F7302" w:rsidRDefault="00E8635A" w:rsidP="002F7302">
                  <w:pPr>
                    <w:pStyle w:val="1"/>
                    <w:numPr>
                      <w:ilvl w:val="0"/>
                      <w:numId w:val="0"/>
                    </w:numPr>
                    <w:tabs>
                      <w:tab w:val="clear" w:pos="680"/>
                      <w:tab w:val="left" w:pos="840"/>
                    </w:tabs>
                    <w:jc w:val="left"/>
                    <w:rPr>
                      <w:i/>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p</m:t>
                          </m:r>
                        </m:sub>
                      </m:sSub>
                    </m:oMath>
                  </m:oMathPara>
                </w:p>
              </w:tc>
              <w:tc>
                <w:tcPr>
                  <w:tcW w:w="6776" w:type="dxa"/>
                  <w:hideMark/>
                </w:tcPr>
                <w:p w14:paraId="3AEE3EE3" w14:textId="77777777" w:rsidR="002F7302" w:rsidRDefault="002F7302" w:rsidP="002F7302">
                  <w:pPr>
                    <w:pStyle w:val="1"/>
                    <w:numPr>
                      <w:ilvl w:val="0"/>
                      <w:numId w:val="0"/>
                    </w:numPr>
                    <w:tabs>
                      <w:tab w:val="clear" w:pos="680"/>
                      <w:tab w:val="left" w:pos="840"/>
                    </w:tabs>
                    <w:rPr>
                      <w:color w:val="auto"/>
                    </w:rPr>
                  </w:pPr>
                  <w:r>
                    <w:rPr>
                      <w:color w:val="auto"/>
                    </w:rPr>
                    <w:t xml:space="preserve">: Reference emissions during the period </w:t>
                  </w:r>
                  <w:r>
                    <w:rPr>
                      <w:i/>
                      <w:color w:val="auto"/>
                    </w:rPr>
                    <w:t>p</w:t>
                  </w:r>
                  <w:r>
                    <w:rPr>
                      <w:color w:val="auto"/>
                    </w:rPr>
                    <w:t xml:space="preserve"> [tCO</w:t>
                  </w:r>
                  <w:r>
                    <w:rPr>
                      <w:color w:val="auto"/>
                      <w:vertAlign w:val="subscript"/>
                    </w:rPr>
                    <w:t>2</w:t>
                  </w:r>
                  <w:r>
                    <w:rPr>
                      <w:color w:val="auto"/>
                    </w:rPr>
                    <w:t>/p]</w:t>
                  </w:r>
                </w:p>
              </w:tc>
            </w:tr>
            <w:tr w:rsidR="002F7302" w14:paraId="50DEC4C6" w14:textId="77777777" w:rsidTr="002F7302">
              <w:tc>
                <w:tcPr>
                  <w:tcW w:w="1554" w:type="dxa"/>
                  <w:hideMark/>
                </w:tcPr>
                <w:p w14:paraId="5B1B93AE" w14:textId="3345BED7" w:rsidR="002F7302" w:rsidRPr="002F7302" w:rsidRDefault="00E8635A" w:rsidP="002F7302">
                  <w:pPr>
                    <w:pStyle w:val="1"/>
                    <w:numPr>
                      <w:ilvl w:val="0"/>
                      <w:numId w:val="0"/>
                    </w:numPr>
                    <w:tabs>
                      <w:tab w:val="clear" w:pos="680"/>
                      <w:tab w:val="left" w:pos="840"/>
                    </w:tabs>
                    <w:jc w:val="left"/>
                    <w:rPr>
                      <w:i/>
                      <w:color w:val="auto"/>
                    </w:rPr>
                  </w:pPr>
                  <m:oMathPara>
                    <m:oMathParaPr>
                      <m:jc m:val="left"/>
                    </m:oMathParaPr>
                    <m:oMath>
                      <m:sSub>
                        <m:sSubPr>
                          <m:ctrlPr>
                            <w:rPr>
                              <w:rFonts w:ascii="Cambria Math" w:hAnsi="Cambria Math"/>
                              <w:i/>
                            </w:rPr>
                          </m:ctrlPr>
                        </m:sSubPr>
                        <m:e>
                          <m:r>
                            <w:rPr>
                              <w:rFonts w:ascii="Cambria Math" w:hAnsi="Cambria Math"/>
                            </w:rPr>
                            <m:t>EC</m:t>
                          </m:r>
                        </m:e>
                        <m:sub>
                          <m:r>
                            <w:rPr>
                              <w:rFonts w:ascii="Cambria Math" w:hAnsi="Cambria Math"/>
                            </w:rPr>
                            <m:t>PJ,i,p</m:t>
                          </m:r>
                        </m:sub>
                      </m:sSub>
                    </m:oMath>
                  </m:oMathPara>
                </w:p>
              </w:tc>
              <w:tc>
                <w:tcPr>
                  <w:tcW w:w="6776" w:type="dxa"/>
                  <w:hideMark/>
                </w:tcPr>
                <w:p w14:paraId="4BFD5626" w14:textId="28C04C21" w:rsidR="002F7302" w:rsidRDefault="002F7302" w:rsidP="005E49A9">
                  <w:pPr>
                    <w:pStyle w:val="1"/>
                    <w:numPr>
                      <w:ilvl w:val="0"/>
                      <w:numId w:val="0"/>
                    </w:numPr>
                    <w:tabs>
                      <w:tab w:val="clear" w:pos="680"/>
                      <w:tab w:val="left" w:pos="840"/>
                    </w:tabs>
                    <w:rPr>
                      <w:color w:val="auto"/>
                    </w:rPr>
                  </w:pPr>
                  <w:r>
                    <w:rPr>
                      <w:color w:val="auto"/>
                    </w:rPr>
                    <w:t xml:space="preserve">: </w:t>
                  </w:r>
                  <w:r w:rsidR="00AC0381">
                    <w:t>E</w:t>
                  </w:r>
                  <w:r>
                    <w:t xml:space="preserve">lectricity consumption of the </w:t>
                  </w:r>
                  <w:r w:rsidR="00AD76FC">
                    <w:t>project</w:t>
                  </w:r>
                  <w:r>
                    <w:t xml:space="preserve"> </w:t>
                  </w:r>
                  <w:r w:rsidR="00AD2278">
                    <w:t>injection molding machine</w:t>
                  </w:r>
                  <w:r>
                    <w:t xml:space="preserve"> </w:t>
                  </w:r>
                  <w:r w:rsidR="00EC142B">
                    <w:rPr>
                      <w:i/>
                    </w:rPr>
                    <w:t>i</w:t>
                  </w:r>
                  <w:r>
                    <w:rPr>
                      <w:color w:val="auto"/>
                    </w:rPr>
                    <w:t xml:space="preserve"> </w:t>
                  </w:r>
                  <w:r w:rsidR="00AC0381">
                    <w:rPr>
                      <w:color w:val="auto"/>
                    </w:rPr>
                    <w:t xml:space="preserve">during the period </w:t>
                  </w:r>
                  <w:r w:rsidR="00AC0381">
                    <w:rPr>
                      <w:i/>
                      <w:color w:val="auto"/>
                    </w:rPr>
                    <w:t>p</w:t>
                  </w:r>
                  <w:r w:rsidR="00AC0381">
                    <w:rPr>
                      <w:color w:val="auto"/>
                    </w:rPr>
                    <w:t xml:space="preserve"> </w:t>
                  </w:r>
                  <w:r>
                    <w:rPr>
                      <w:color w:val="auto"/>
                    </w:rPr>
                    <w:t>[</w:t>
                  </w:r>
                  <w:r w:rsidR="005E49A9">
                    <w:rPr>
                      <w:color w:val="auto"/>
                    </w:rPr>
                    <w:t>M</w:t>
                  </w:r>
                  <w:r>
                    <w:t>Wh/</w:t>
                  </w:r>
                  <w:r w:rsidR="00AD2278">
                    <w:t>p</w:t>
                  </w:r>
                  <w:r>
                    <w:rPr>
                      <w:color w:val="auto"/>
                    </w:rPr>
                    <w:t>]</w:t>
                  </w:r>
                </w:p>
              </w:tc>
            </w:tr>
            <w:tr w:rsidR="002F7302" w14:paraId="10AEB6A5" w14:textId="77777777" w:rsidTr="002F7302">
              <w:tc>
                <w:tcPr>
                  <w:tcW w:w="1554" w:type="dxa"/>
                  <w:hideMark/>
                </w:tcPr>
                <w:p w14:paraId="0D2FB906" w14:textId="7CA04167" w:rsidR="002F7302" w:rsidRPr="002F7302" w:rsidRDefault="00CF45E4" w:rsidP="002F7302">
                  <w:pPr>
                    <w:pStyle w:val="1"/>
                    <w:numPr>
                      <w:ilvl w:val="0"/>
                      <w:numId w:val="0"/>
                    </w:numPr>
                    <w:tabs>
                      <w:tab w:val="clear" w:pos="680"/>
                      <w:tab w:val="left" w:pos="840"/>
                    </w:tabs>
                    <w:jc w:val="left"/>
                    <w:rPr>
                      <w:i/>
                    </w:rPr>
                  </w:pPr>
                  <m:oMathPara>
                    <m:oMathParaPr>
                      <m:jc m:val="left"/>
                    </m:oMathParaPr>
                    <m:oMath>
                      <m:r>
                        <w:rPr>
                          <w:rFonts w:ascii="Cambria Math" w:hAnsi="Cambria Math"/>
                        </w:rPr>
                        <m:t>RR</m:t>
                      </m:r>
                    </m:oMath>
                  </m:oMathPara>
                </w:p>
              </w:tc>
              <w:tc>
                <w:tcPr>
                  <w:tcW w:w="6776" w:type="dxa"/>
                  <w:hideMark/>
                </w:tcPr>
                <w:p w14:paraId="7AD9CD87" w14:textId="281383CE" w:rsidR="002F7302" w:rsidRDefault="002F7302" w:rsidP="002F7302">
                  <w:pPr>
                    <w:pStyle w:val="1"/>
                    <w:numPr>
                      <w:ilvl w:val="0"/>
                      <w:numId w:val="0"/>
                    </w:numPr>
                    <w:tabs>
                      <w:tab w:val="clear" w:pos="680"/>
                      <w:tab w:val="left" w:pos="840"/>
                    </w:tabs>
                    <w:rPr>
                      <w:color w:val="auto"/>
                    </w:rPr>
                  </w:pPr>
                  <w:r>
                    <w:t xml:space="preserve">: Reduction </w:t>
                  </w:r>
                  <w:r w:rsidR="007750AC">
                    <w:t>ra</w:t>
                  </w:r>
                  <w:r w:rsidR="006521D7">
                    <w:t>tio</w:t>
                  </w:r>
                  <w:r>
                    <w:t xml:space="preserve"> of specific </w:t>
                  </w:r>
                  <w:r w:rsidR="009F1258">
                    <w:t>electricity</w:t>
                  </w:r>
                  <w:r>
                    <w:t xml:space="preserve"> consumption of the project </w:t>
                  </w:r>
                  <w:r w:rsidR="00F6516B">
                    <w:t>injection molding machine</w:t>
                  </w:r>
                  <w:r w:rsidR="00AD76FC">
                    <w:t xml:space="preserve"> to the reference </w:t>
                  </w:r>
                  <w:r w:rsidR="00AD76FC" w:rsidRPr="00EE3648">
                    <w:t>injection molding machine</w:t>
                  </w:r>
                  <w:r>
                    <w:t xml:space="preserve"> [</w:t>
                  </w:r>
                  <w:r w:rsidR="002409F7">
                    <w:t>-</w:t>
                  </w:r>
                  <w:r>
                    <w:t>]</w:t>
                  </w:r>
                </w:p>
              </w:tc>
            </w:tr>
            <w:tr w:rsidR="002F7302" w14:paraId="02256937" w14:textId="77777777" w:rsidTr="002F7302">
              <w:tc>
                <w:tcPr>
                  <w:tcW w:w="1554" w:type="dxa"/>
                  <w:hideMark/>
                </w:tcPr>
                <w:p w14:paraId="19A1A27F" w14:textId="77777777" w:rsidR="002F7302" w:rsidRPr="002F7302" w:rsidRDefault="00E8635A" w:rsidP="002F7302">
                  <w:pPr>
                    <w:pStyle w:val="1"/>
                    <w:numPr>
                      <w:ilvl w:val="0"/>
                      <w:numId w:val="0"/>
                    </w:numPr>
                    <w:tabs>
                      <w:tab w:val="clear" w:pos="680"/>
                      <w:tab w:val="left" w:pos="840"/>
                    </w:tabs>
                    <w:jc w:val="left"/>
                    <w:rPr>
                      <w:rFonts w:ascii="Century" w:hAnsi="Century"/>
                      <w:i/>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elec</m:t>
                          </m:r>
                        </m:sub>
                      </m:sSub>
                    </m:oMath>
                  </m:oMathPara>
                </w:p>
              </w:tc>
              <w:tc>
                <w:tcPr>
                  <w:tcW w:w="6776" w:type="dxa"/>
                  <w:hideMark/>
                </w:tcPr>
                <w:p w14:paraId="68E3B1B5" w14:textId="74355A56" w:rsidR="002F7302" w:rsidRDefault="002F7302" w:rsidP="005E49A9">
                  <w:pPr>
                    <w:rPr>
                      <w:szCs w:val="22"/>
                    </w:rPr>
                  </w:pPr>
                  <w:r>
                    <w:rPr>
                      <w:szCs w:val="22"/>
                    </w:rPr>
                    <w:t>: CO</w:t>
                  </w:r>
                  <w:r>
                    <w:rPr>
                      <w:szCs w:val="22"/>
                      <w:vertAlign w:val="subscript"/>
                    </w:rPr>
                    <w:t>2</w:t>
                  </w:r>
                  <w:r>
                    <w:rPr>
                      <w:szCs w:val="22"/>
                    </w:rPr>
                    <w:t xml:space="preserve"> emission factor for consumed electricity</w:t>
                  </w:r>
                  <w:r>
                    <w:t xml:space="preserve"> </w:t>
                  </w:r>
                  <w:r>
                    <w:rPr>
                      <w:szCs w:val="22"/>
                    </w:rPr>
                    <w:t>[tCO</w:t>
                  </w:r>
                  <w:r>
                    <w:rPr>
                      <w:szCs w:val="22"/>
                      <w:vertAlign w:val="subscript"/>
                    </w:rPr>
                    <w:t>2</w:t>
                  </w:r>
                  <w:r>
                    <w:rPr>
                      <w:szCs w:val="22"/>
                    </w:rPr>
                    <w:t>/</w:t>
                  </w:r>
                  <w:r w:rsidR="005E49A9">
                    <w:rPr>
                      <w:szCs w:val="22"/>
                    </w:rPr>
                    <w:t>M</w:t>
                  </w:r>
                  <w:r>
                    <w:rPr>
                      <w:szCs w:val="22"/>
                    </w:rPr>
                    <w:t>Wh]</w:t>
                  </w:r>
                </w:p>
              </w:tc>
            </w:tr>
            <w:tr w:rsidR="002F7302" w14:paraId="430F3140" w14:textId="77777777" w:rsidTr="002F7302">
              <w:tc>
                <w:tcPr>
                  <w:tcW w:w="1554" w:type="dxa"/>
                  <w:hideMark/>
                </w:tcPr>
                <w:p w14:paraId="70420B24" w14:textId="77777777" w:rsidR="002F7302" w:rsidRDefault="002F7302" w:rsidP="002F7302">
                  <w:pPr>
                    <w:pStyle w:val="1"/>
                    <w:numPr>
                      <w:ilvl w:val="0"/>
                      <w:numId w:val="0"/>
                    </w:numPr>
                    <w:tabs>
                      <w:tab w:val="clear" w:pos="680"/>
                      <w:tab w:val="left" w:pos="840"/>
                    </w:tabs>
                    <w:jc w:val="left"/>
                    <w:rPr>
                      <w:i/>
                      <w:color w:val="auto"/>
                    </w:rPr>
                  </w:pPr>
                  <w:r>
                    <w:rPr>
                      <w:i/>
                      <w:color w:val="auto"/>
                    </w:rPr>
                    <w:t>i</w:t>
                  </w:r>
                </w:p>
              </w:tc>
              <w:tc>
                <w:tcPr>
                  <w:tcW w:w="6776" w:type="dxa"/>
                  <w:hideMark/>
                </w:tcPr>
                <w:p w14:paraId="30B24BB5" w14:textId="77777777" w:rsidR="002F7302" w:rsidRDefault="002F7302" w:rsidP="002F7302">
                  <w:pPr>
                    <w:rPr>
                      <w:szCs w:val="22"/>
                    </w:rPr>
                  </w:pPr>
                  <w:r>
                    <w:rPr>
                      <w:szCs w:val="22"/>
                    </w:rPr>
                    <w:t xml:space="preserve">: Identification number of the project </w:t>
                  </w:r>
                  <w:r w:rsidR="00F6516B">
                    <w:rPr>
                      <w:szCs w:val="22"/>
                    </w:rPr>
                    <w:t>injection molding machine</w:t>
                  </w:r>
                </w:p>
              </w:tc>
            </w:tr>
            <w:tr w:rsidR="00457296" w14:paraId="0BC162B4" w14:textId="77777777" w:rsidTr="002F7302">
              <w:tc>
                <w:tcPr>
                  <w:tcW w:w="1554" w:type="dxa"/>
                </w:tcPr>
                <w:p w14:paraId="38E13D91" w14:textId="77777777" w:rsidR="00457296" w:rsidRDefault="00457296" w:rsidP="002F7302">
                  <w:pPr>
                    <w:pStyle w:val="1"/>
                    <w:numPr>
                      <w:ilvl w:val="0"/>
                      <w:numId w:val="0"/>
                    </w:numPr>
                    <w:tabs>
                      <w:tab w:val="clear" w:pos="680"/>
                      <w:tab w:val="left" w:pos="840"/>
                    </w:tabs>
                    <w:jc w:val="left"/>
                    <w:rPr>
                      <w:i/>
                      <w:color w:val="auto"/>
                    </w:rPr>
                  </w:pPr>
                </w:p>
              </w:tc>
              <w:tc>
                <w:tcPr>
                  <w:tcW w:w="6776" w:type="dxa"/>
                </w:tcPr>
                <w:p w14:paraId="3403AAEF" w14:textId="77777777" w:rsidR="00457296" w:rsidRDefault="00457296" w:rsidP="002F7302">
                  <w:pPr>
                    <w:rPr>
                      <w:szCs w:val="22"/>
                    </w:rPr>
                  </w:pPr>
                </w:p>
              </w:tc>
            </w:tr>
          </w:tbl>
          <w:p w14:paraId="14F438A2" w14:textId="77777777" w:rsidR="0016310E" w:rsidRPr="00FC2BC0" w:rsidRDefault="0016310E" w:rsidP="00FC2BC0">
            <w:pPr>
              <w:rPr>
                <w:szCs w:val="22"/>
              </w:rPr>
            </w:pPr>
          </w:p>
        </w:tc>
      </w:tr>
    </w:tbl>
    <w:p w14:paraId="7F517FF3" w14:textId="77777777" w:rsidR="005066E1" w:rsidRPr="0016310E" w:rsidRDefault="005066E1" w:rsidP="005066E1">
      <w:pPr>
        <w:pStyle w:val="1"/>
        <w:numPr>
          <w:ilvl w:val="0"/>
          <w:numId w:val="0"/>
        </w:numPr>
        <w:ind w:left="425" w:hanging="425"/>
      </w:pPr>
    </w:p>
    <w:p w14:paraId="74A6877C" w14:textId="77777777"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62D43A24" w14:textId="77777777">
        <w:tc>
          <w:tcPr>
            <w:tcW w:w="8702" w:type="dxa"/>
            <w:shd w:val="clear" w:color="auto" w:fill="17365D"/>
          </w:tcPr>
          <w:p w14:paraId="33A883C7" w14:textId="77777777" w:rsidR="005066E1" w:rsidRPr="0016310E" w:rsidRDefault="0056276D" w:rsidP="00215D29">
            <w:pPr>
              <w:numPr>
                <w:ilvl w:val="1"/>
                <w:numId w:val="3"/>
              </w:numPr>
              <w:rPr>
                <w:b/>
                <w:szCs w:val="22"/>
              </w:rPr>
            </w:pPr>
            <w:r w:rsidRPr="0016310E">
              <w:rPr>
                <w:rFonts w:hint="eastAsia"/>
                <w:b/>
                <w:szCs w:val="22"/>
              </w:rPr>
              <w:t>C</w:t>
            </w:r>
            <w:r w:rsidR="005066E1" w:rsidRPr="0016310E">
              <w:rPr>
                <w:b/>
                <w:szCs w:val="22"/>
              </w:rPr>
              <w:t>alculation</w:t>
            </w:r>
            <w:r w:rsidRPr="0016310E">
              <w:rPr>
                <w:rFonts w:hint="eastAsia"/>
                <w:b/>
                <w:szCs w:val="22"/>
              </w:rPr>
              <w:t xml:space="preserve"> of project emiss</w:t>
            </w:r>
            <w:r w:rsidR="00CC308C" w:rsidRPr="0016310E">
              <w:rPr>
                <w:rFonts w:hint="eastAsia"/>
                <w:b/>
                <w:szCs w:val="22"/>
              </w:rPr>
              <w:t>io</w:t>
            </w:r>
            <w:r w:rsidRPr="0016310E">
              <w:rPr>
                <w:rFonts w:hint="eastAsia"/>
                <w:b/>
                <w:szCs w:val="22"/>
              </w:rPr>
              <w:t>n</w:t>
            </w:r>
            <w:r w:rsidR="00195771" w:rsidRPr="0016310E">
              <w:rPr>
                <w:rFonts w:hint="eastAsia"/>
                <w:b/>
                <w:szCs w:val="22"/>
              </w:rPr>
              <w:t>s</w:t>
            </w:r>
          </w:p>
        </w:tc>
      </w:tr>
    </w:tbl>
    <w:p w14:paraId="02C7508C"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44715B2C" w14:textId="77777777" w:rsidTr="00FC2BC0">
        <w:tc>
          <w:tcPr>
            <w:tcW w:w="8702" w:type="dxa"/>
          </w:tcPr>
          <w:p w14:paraId="3369B9B1" w14:textId="76959832" w:rsidR="002F7302" w:rsidRPr="00AF14A2" w:rsidRDefault="00E8635A" w:rsidP="002F7302">
            <w:pPr>
              <w:jc w:val="center"/>
              <w:rPr>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PE</m:t>
                    </m:r>
                  </m:e>
                  <m:sub>
                    <m:r>
                      <w:rPr>
                        <w:rFonts w:ascii="Cambria Math" w:hAnsi="Cambria Math"/>
                        <w:color w:val="000000" w:themeColor="text1"/>
                      </w:rPr>
                      <m:t>p</m:t>
                    </m:r>
                  </m:sub>
                </m:sSub>
                <m:r>
                  <w:rPr>
                    <w:rFonts w:ascii="Cambria Math" w:hAnsi="Cambria Math"/>
                    <w:color w:val="000000" w:themeColor="text1"/>
                  </w:rPr>
                  <m:t>=</m:t>
                </m:r>
                <m:nary>
                  <m:naryPr>
                    <m:chr m:val="∑"/>
                    <m:limLoc m:val="undOvr"/>
                    <m:supHide m:val="1"/>
                    <m:ctrlPr>
                      <w:rPr>
                        <w:rFonts w:ascii="Cambria Math" w:hAnsi="Cambria Math"/>
                        <w:i/>
                        <w:color w:val="000000" w:themeColor="text1"/>
                      </w:rPr>
                    </m:ctrlPr>
                  </m:naryPr>
                  <m:sub>
                    <m:r>
                      <w:rPr>
                        <w:rFonts w:ascii="Cambria Math" w:hAnsi="Cambria Math"/>
                        <w:color w:val="000000" w:themeColor="text1"/>
                      </w:rPr>
                      <m:t>i</m:t>
                    </m:r>
                  </m:sub>
                  <m:sup/>
                  <m:e>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EC</m:t>
                            </m:r>
                          </m:e>
                          <m:sub>
                            <m:r>
                              <w:rPr>
                                <w:rFonts w:ascii="Cambria Math" w:hAnsi="Cambria Math"/>
                                <w:color w:val="000000" w:themeColor="text1"/>
                              </w:rPr>
                              <m:t>PJ,i,p</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elec</m:t>
                            </m:r>
                          </m:sub>
                        </m:sSub>
                        <m:r>
                          <w:rPr>
                            <w:rFonts w:ascii="Cambria Math" w:hAnsi="Cambria Math"/>
                            <w:color w:val="000000" w:themeColor="text1"/>
                          </w:rPr>
                          <m:t xml:space="preserve"> </m:t>
                        </m:r>
                      </m:e>
                    </m:d>
                  </m:e>
                </m:nary>
                <m:r>
                  <w:rPr>
                    <w:rFonts w:ascii="Cambria Math" w:hAnsi="Cambria Math"/>
                    <w:color w:val="000000" w:themeColor="text1"/>
                  </w:rPr>
                  <m:t xml:space="preserve"> </m:t>
                </m:r>
              </m:oMath>
            </m:oMathPara>
          </w:p>
          <w:p w14:paraId="7A0582EE" w14:textId="77777777" w:rsidR="002F7302" w:rsidRPr="00AF14A2" w:rsidRDefault="002F7302" w:rsidP="002F7302">
            <w:pPr>
              <w:tabs>
                <w:tab w:val="left" w:pos="1405"/>
              </w:tabs>
              <w:jc w:val="left"/>
              <w:rPr>
                <w:color w:val="000000" w:themeColor="text1"/>
                <w:szCs w:val="22"/>
              </w:rPr>
            </w:pPr>
            <w:r w:rsidRPr="00AF14A2">
              <w:rPr>
                <w:color w:val="000000" w:themeColor="text1"/>
                <w:szCs w:val="22"/>
              </w:rPr>
              <w:t>Where:</w:t>
            </w:r>
          </w:p>
          <w:tbl>
            <w:tblPr>
              <w:tblStyle w:val="af6"/>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196"/>
            </w:tblGrid>
            <w:tr w:rsidR="00AF14A2" w:rsidRPr="00AF14A2" w14:paraId="4E7FE035" w14:textId="77777777" w:rsidTr="002F7302">
              <w:tc>
                <w:tcPr>
                  <w:tcW w:w="1134" w:type="dxa"/>
                  <w:hideMark/>
                </w:tcPr>
                <w:p w14:paraId="407CEE2E" w14:textId="63FCBF6E" w:rsidR="00AF14A2" w:rsidRPr="002F7302" w:rsidRDefault="00E8635A" w:rsidP="00AF14A2">
                  <w:pPr>
                    <w:pStyle w:val="1"/>
                    <w:numPr>
                      <w:ilvl w:val="0"/>
                      <w:numId w:val="0"/>
                    </w:numPr>
                    <w:tabs>
                      <w:tab w:val="clear" w:pos="680"/>
                      <w:tab w:val="left" w:pos="840"/>
                    </w:tabs>
                    <w:jc w:val="left"/>
                    <w:rPr>
                      <w:i/>
                    </w:rPr>
                  </w:pPr>
                  <m:oMathPara>
                    <m:oMathParaPr>
                      <m:jc m:val="left"/>
                    </m:oMathParaPr>
                    <m:oMath>
                      <m:sSub>
                        <m:sSubPr>
                          <m:ctrlPr>
                            <w:rPr>
                              <w:rFonts w:ascii="Cambria Math" w:hAnsi="Cambria Math"/>
                              <w:i/>
                            </w:rPr>
                          </m:ctrlPr>
                        </m:sSubPr>
                        <m:e>
                          <m:r>
                            <w:rPr>
                              <w:rFonts w:ascii="Cambria Math" w:hAnsi="Cambria Math" w:hint="eastAsia"/>
                            </w:rPr>
                            <m:t>P</m:t>
                          </m:r>
                          <m:r>
                            <w:rPr>
                              <w:rFonts w:ascii="Cambria Math" w:hAnsi="Cambria Math"/>
                            </w:rPr>
                            <m:t>E</m:t>
                          </m:r>
                        </m:e>
                        <m:sub>
                          <m:r>
                            <w:rPr>
                              <w:rFonts w:ascii="Cambria Math" w:hAnsi="Cambria Math"/>
                            </w:rPr>
                            <m:t>p</m:t>
                          </m:r>
                        </m:sub>
                      </m:sSub>
                    </m:oMath>
                  </m:oMathPara>
                </w:p>
              </w:tc>
              <w:tc>
                <w:tcPr>
                  <w:tcW w:w="7196" w:type="dxa"/>
                  <w:hideMark/>
                </w:tcPr>
                <w:p w14:paraId="13CA2F28" w14:textId="77777777" w:rsidR="00AF14A2" w:rsidRPr="00AF14A2" w:rsidRDefault="00AF14A2" w:rsidP="00AF14A2">
                  <w:pPr>
                    <w:pStyle w:val="1"/>
                    <w:numPr>
                      <w:ilvl w:val="0"/>
                      <w:numId w:val="0"/>
                    </w:numPr>
                    <w:tabs>
                      <w:tab w:val="clear" w:pos="680"/>
                      <w:tab w:val="left" w:pos="840"/>
                    </w:tabs>
                    <w:rPr>
                      <w:color w:val="000000" w:themeColor="text1"/>
                    </w:rPr>
                  </w:pPr>
                  <w:r w:rsidRPr="00AF14A2">
                    <w:rPr>
                      <w:color w:val="000000" w:themeColor="text1"/>
                    </w:rPr>
                    <w:t xml:space="preserve">: Project emissions during the period </w:t>
                  </w:r>
                  <w:r w:rsidRPr="00AF14A2">
                    <w:rPr>
                      <w:i/>
                      <w:color w:val="000000" w:themeColor="text1"/>
                    </w:rPr>
                    <w:t>p</w:t>
                  </w:r>
                  <w:r w:rsidRPr="00AF14A2">
                    <w:rPr>
                      <w:color w:val="000000" w:themeColor="text1"/>
                    </w:rPr>
                    <w:t xml:space="preserve"> [tCO</w:t>
                  </w:r>
                  <w:r w:rsidRPr="00AF14A2">
                    <w:rPr>
                      <w:color w:val="000000" w:themeColor="text1"/>
                      <w:vertAlign w:val="subscript"/>
                    </w:rPr>
                    <w:t>2</w:t>
                  </w:r>
                  <w:r w:rsidRPr="00AF14A2">
                    <w:rPr>
                      <w:color w:val="000000" w:themeColor="text1"/>
                    </w:rPr>
                    <w:t>/p]</w:t>
                  </w:r>
                </w:p>
              </w:tc>
            </w:tr>
            <w:tr w:rsidR="00AF14A2" w:rsidRPr="00AF14A2" w14:paraId="56715E3E" w14:textId="77777777" w:rsidTr="002F7302">
              <w:tc>
                <w:tcPr>
                  <w:tcW w:w="1134" w:type="dxa"/>
                  <w:hideMark/>
                </w:tcPr>
                <w:p w14:paraId="1AC92075" w14:textId="41C6261E" w:rsidR="00AF14A2" w:rsidRPr="002F7302" w:rsidRDefault="00E8635A" w:rsidP="00AF14A2">
                  <w:pPr>
                    <w:pStyle w:val="1"/>
                    <w:numPr>
                      <w:ilvl w:val="0"/>
                      <w:numId w:val="0"/>
                    </w:numPr>
                    <w:tabs>
                      <w:tab w:val="clear" w:pos="680"/>
                      <w:tab w:val="left" w:pos="840"/>
                    </w:tabs>
                    <w:jc w:val="left"/>
                    <w:rPr>
                      <w:i/>
                      <w:color w:val="auto"/>
                    </w:rPr>
                  </w:pPr>
                  <m:oMathPara>
                    <m:oMathParaPr>
                      <m:jc m:val="left"/>
                    </m:oMathParaPr>
                    <m:oMath>
                      <m:sSub>
                        <m:sSubPr>
                          <m:ctrlPr>
                            <w:rPr>
                              <w:rFonts w:ascii="Cambria Math" w:hAnsi="Cambria Math"/>
                              <w:i/>
                            </w:rPr>
                          </m:ctrlPr>
                        </m:sSubPr>
                        <m:e>
                          <m:r>
                            <w:rPr>
                              <w:rFonts w:ascii="Cambria Math" w:hAnsi="Cambria Math"/>
                            </w:rPr>
                            <m:t>EC</m:t>
                          </m:r>
                        </m:e>
                        <m:sub>
                          <m:r>
                            <w:rPr>
                              <w:rFonts w:ascii="Cambria Math" w:hAnsi="Cambria Math"/>
                            </w:rPr>
                            <m:t>PJ,i,p</m:t>
                          </m:r>
                        </m:sub>
                      </m:sSub>
                    </m:oMath>
                  </m:oMathPara>
                </w:p>
              </w:tc>
              <w:tc>
                <w:tcPr>
                  <w:tcW w:w="7196" w:type="dxa"/>
                  <w:hideMark/>
                </w:tcPr>
                <w:p w14:paraId="30EEDBC2" w14:textId="3DD798F7" w:rsidR="00AF14A2" w:rsidRPr="00AF14A2" w:rsidRDefault="00AF14A2" w:rsidP="005E49A9">
                  <w:pPr>
                    <w:pStyle w:val="1"/>
                    <w:numPr>
                      <w:ilvl w:val="0"/>
                      <w:numId w:val="0"/>
                    </w:numPr>
                    <w:tabs>
                      <w:tab w:val="clear" w:pos="680"/>
                      <w:tab w:val="left" w:pos="840"/>
                    </w:tabs>
                    <w:rPr>
                      <w:color w:val="000000" w:themeColor="text1"/>
                    </w:rPr>
                  </w:pPr>
                  <w:r w:rsidRPr="00AF14A2">
                    <w:rPr>
                      <w:color w:val="000000" w:themeColor="text1"/>
                    </w:rPr>
                    <w:t xml:space="preserve">: </w:t>
                  </w:r>
                  <w:r w:rsidR="00AD76FC">
                    <w:rPr>
                      <w:color w:val="000000" w:themeColor="text1"/>
                    </w:rPr>
                    <w:t>E</w:t>
                  </w:r>
                  <w:r w:rsidRPr="00AF14A2">
                    <w:rPr>
                      <w:color w:val="000000" w:themeColor="text1"/>
                    </w:rPr>
                    <w:t xml:space="preserve">lectricity consumption of the </w:t>
                  </w:r>
                  <w:r w:rsidR="00AD76FC">
                    <w:rPr>
                      <w:color w:val="000000" w:themeColor="text1"/>
                    </w:rPr>
                    <w:t>project</w:t>
                  </w:r>
                  <w:r w:rsidR="00AD76FC" w:rsidRPr="00AF14A2">
                    <w:rPr>
                      <w:color w:val="000000" w:themeColor="text1"/>
                    </w:rPr>
                    <w:t xml:space="preserve"> </w:t>
                  </w:r>
                  <w:r w:rsidRPr="00AF14A2">
                    <w:rPr>
                      <w:color w:val="000000" w:themeColor="text1"/>
                    </w:rPr>
                    <w:t xml:space="preserve">injection molding machine </w:t>
                  </w:r>
                  <w:r w:rsidRPr="00AF14A2">
                    <w:rPr>
                      <w:i/>
                      <w:color w:val="000000" w:themeColor="text1"/>
                    </w:rPr>
                    <w:t>i</w:t>
                  </w:r>
                  <w:r w:rsidRPr="00AF14A2">
                    <w:rPr>
                      <w:color w:val="000000" w:themeColor="text1"/>
                    </w:rPr>
                    <w:t xml:space="preserve"> </w:t>
                  </w:r>
                  <w:r w:rsidR="00AD76FC">
                    <w:rPr>
                      <w:color w:val="auto"/>
                    </w:rPr>
                    <w:t xml:space="preserve">during the period </w:t>
                  </w:r>
                  <w:r w:rsidR="00AD76FC">
                    <w:rPr>
                      <w:i/>
                      <w:color w:val="auto"/>
                    </w:rPr>
                    <w:t>p</w:t>
                  </w:r>
                  <w:r w:rsidR="00AD76FC" w:rsidRPr="00AF14A2">
                    <w:rPr>
                      <w:color w:val="000000" w:themeColor="text1"/>
                    </w:rPr>
                    <w:t xml:space="preserve"> </w:t>
                  </w:r>
                  <w:r w:rsidRPr="00AF14A2">
                    <w:rPr>
                      <w:color w:val="000000" w:themeColor="text1"/>
                    </w:rPr>
                    <w:t>[</w:t>
                  </w:r>
                  <w:r w:rsidR="005E49A9">
                    <w:rPr>
                      <w:color w:val="000000" w:themeColor="text1"/>
                    </w:rPr>
                    <w:t>M</w:t>
                  </w:r>
                  <w:r w:rsidRPr="00AF14A2">
                    <w:rPr>
                      <w:color w:val="000000" w:themeColor="text1"/>
                    </w:rPr>
                    <w:t>Wh/p]</w:t>
                  </w:r>
                </w:p>
              </w:tc>
            </w:tr>
            <w:tr w:rsidR="00AF14A2" w:rsidRPr="00AF14A2" w14:paraId="1ED55D83" w14:textId="77777777" w:rsidTr="002F7302">
              <w:tc>
                <w:tcPr>
                  <w:tcW w:w="1134" w:type="dxa"/>
                  <w:hideMark/>
                </w:tcPr>
                <w:p w14:paraId="56395646" w14:textId="77777777" w:rsidR="002F7302" w:rsidRPr="00AF14A2" w:rsidRDefault="00E8635A" w:rsidP="002F7302">
                  <w:pPr>
                    <w:pStyle w:val="1"/>
                    <w:numPr>
                      <w:ilvl w:val="0"/>
                      <w:numId w:val="0"/>
                    </w:numPr>
                    <w:tabs>
                      <w:tab w:val="clear" w:pos="680"/>
                      <w:tab w:val="left" w:pos="840"/>
                    </w:tabs>
                    <w:rPr>
                      <w:rFonts w:ascii="Century" w:hAnsi="Century"/>
                      <w:i/>
                      <w:color w:val="000000" w:themeColor="text1"/>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elec</m:t>
                          </m:r>
                        </m:sub>
                      </m:sSub>
                    </m:oMath>
                  </m:oMathPara>
                </w:p>
              </w:tc>
              <w:tc>
                <w:tcPr>
                  <w:tcW w:w="7196" w:type="dxa"/>
                  <w:hideMark/>
                </w:tcPr>
                <w:p w14:paraId="70AFAEE4" w14:textId="13142229" w:rsidR="002F7302" w:rsidRPr="00AF14A2" w:rsidRDefault="002F7302" w:rsidP="005E49A9">
                  <w:pPr>
                    <w:rPr>
                      <w:color w:val="000000" w:themeColor="text1"/>
                      <w:szCs w:val="22"/>
                    </w:rPr>
                  </w:pPr>
                  <w:r w:rsidRPr="00AF14A2">
                    <w:rPr>
                      <w:color w:val="000000" w:themeColor="text1"/>
                      <w:szCs w:val="22"/>
                    </w:rPr>
                    <w:t>: CO</w:t>
                  </w:r>
                  <w:r w:rsidRPr="00AF14A2">
                    <w:rPr>
                      <w:color w:val="000000" w:themeColor="text1"/>
                      <w:szCs w:val="22"/>
                      <w:vertAlign w:val="subscript"/>
                    </w:rPr>
                    <w:t>2</w:t>
                  </w:r>
                  <w:r w:rsidRPr="00AF14A2">
                    <w:rPr>
                      <w:color w:val="000000" w:themeColor="text1"/>
                      <w:szCs w:val="22"/>
                    </w:rPr>
                    <w:t xml:space="preserve"> emission factor for consumed electricity</w:t>
                  </w:r>
                  <w:r w:rsidRPr="00AF14A2">
                    <w:rPr>
                      <w:color w:val="000000" w:themeColor="text1"/>
                    </w:rPr>
                    <w:t xml:space="preserve"> </w:t>
                  </w:r>
                  <w:r w:rsidRPr="00AF14A2">
                    <w:rPr>
                      <w:color w:val="000000" w:themeColor="text1"/>
                      <w:szCs w:val="22"/>
                    </w:rPr>
                    <w:t>[tCO</w:t>
                  </w:r>
                  <w:r w:rsidRPr="00AF14A2">
                    <w:rPr>
                      <w:color w:val="000000" w:themeColor="text1"/>
                      <w:szCs w:val="22"/>
                      <w:vertAlign w:val="subscript"/>
                    </w:rPr>
                    <w:t>2</w:t>
                  </w:r>
                  <w:r w:rsidRPr="00AF14A2">
                    <w:rPr>
                      <w:color w:val="000000" w:themeColor="text1"/>
                      <w:szCs w:val="22"/>
                    </w:rPr>
                    <w:t>/</w:t>
                  </w:r>
                  <w:r w:rsidR="005E49A9">
                    <w:rPr>
                      <w:color w:val="000000" w:themeColor="text1"/>
                      <w:szCs w:val="22"/>
                    </w:rPr>
                    <w:t>M</w:t>
                  </w:r>
                  <w:r w:rsidRPr="00AF14A2">
                    <w:rPr>
                      <w:color w:val="000000" w:themeColor="text1"/>
                      <w:szCs w:val="22"/>
                    </w:rPr>
                    <w:t>Wh]</w:t>
                  </w:r>
                </w:p>
              </w:tc>
            </w:tr>
            <w:tr w:rsidR="00AF14A2" w:rsidRPr="00AF14A2" w14:paraId="62BBA760" w14:textId="77777777" w:rsidTr="002F7302">
              <w:tc>
                <w:tcPr>
                  <w:tcW w:w="1134" w:type="dxa"/>
                  <w:hideMark/>
                </w:tcPr>
                <w:p w14:paraId="7A7127A7" w14:textId="77777777" w:rsidR="002F7302" w:rsidRPr="00AF14A2" w:rsidRDefault="002F7302" w:rsidP="002F7302">
                  <w:pPr>
                    <w:pStyle w:val="1"/>
                    <w:numPr>
                      <w:ilvl w:val="0"/>
                      <w:numId w:val="0"/>
                    </w:numPr>
                    <w:tabs>
                      <w:tab w:val="clear" w:pos="680"/>
                      <w:tab w:val="left" w:pos="840"/>
                    </w:tabs>
                    <w:rPr>
                      <w:i/>
                      <w:color w:val="000000" w:themeColor="text1"/>
                    </w:rPr>
                  </w:pPr>
                  <w:r w:rsidRPr="00AF14A2">
                    <w:rPr>
                      <w:i/>
                      <w:color w:val="000000" w:themeColor="text1"/>
                    </w:rPr>
                    <w:t>i</w:t>
                  </w:r>
                </w:p>
              </w:tc>
              <w:tc>
                <w:tcPr>
                  <w:tcW w:w="7196" w:type="dxa"/>
                  <w:hideMark/>
                </w:tcPr>
                <w:p w14:paraId="620B334B" w14:textId="77777777" w:rsidR="002F7302" w:rsidRPr="00AF14A2" w:rsidRDefault="002F7302" w:rsidP="002F7302">
                  <w:pPr>
                    <w:rPr>
                      <w:color w:val="000000" w:themeColor="text1"/>
                      <w:szCs w:val="22"/>
                    </w:rPr>
                  </w:pPr>
                  <w:r w:rsidRPr="00AF14A2">
                    <w:rPr>
                      <w:color w:val="000000" w:themeColor="text1"/>
                      <w:szCs w:val="22"/>
                    </w:rPr>
                    <w:t xml:space="preserve">: Identification number of the project </w:t>
                  </w:r>
                  <w:r w:rsidR="00F6516B" w:rsidRPr="00AF14A2">
                    <w:rPr>
                      <w:color w:val="000000" w:themeColor="text1"/>
                      <w:szCs w:val="22"/>
                    </w:rPr>
                    <w:t>injection molding machine</w:t>
                  </w:r>
                </w:p>
              </w:tc>
            </w:tr>
          </w:tbl>
          <w:p w14:paraId="295F3497" w14:textId="77777777" w:rsidR="0016310E" w:rsidRPr="00FC2BC0" w:rsidRDefault="0016310E" w:rsidP="00FC2BC0">
            <w:pPr>
              <w:rPr>
                <w:szCs w:val="22"/>
              </w:rPr>
            </w:pPr>
          </w:p>
        </w:tc>
      </w:tr>
    </w:tbl>
    <w:p w14:paraId="4BC38A6A" w14:textId="77777777" w:rsidR="00E51672" w:rsidRPr="0016310E" w:rsidRDefault="00E51672" w:rsidP="005066E1">
      <w:pPr>
        <w:pStyle w:val="1"/>
        <w:numPr>
          <w:ilvl w:val="0"/>
          <w:numId w:val="0"/>
        </w:numPr>
      </w:pPr>
    </w:p>
    <w:p w14:paraId="27A1DFC6" w14:textId="77777777" w:rsidR="009E3F0E" w:rsidRPr="001631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45B4B1AD" w14:textId="77777777">
        <w:tc>
          <w:tcPr>
            <w:tcW w:w="8702" w:type="dxa"/>
            <w:shd w:val="clear" w:color="auto" w:fill="17365D"/>
          </w:tcPr>
          <w:p w14:paraId="08126B8D" w14:textId="77777777" w:rsidR="005066E1" w:rsidRPr="0016310E" w:rsidRDefault="005066E1" w:rsidP="00215D29">
            <w:pPr>
              <w:numPr>
                <w:ilvl w:val="1"/>
                <w:numId w:val="3"/>
              </w:numPr>
              <w:rPr>
                <w:b/>
                <w:szCs w:val="22"/>
              </w:rPr>
            </w:pPr>
            <w:r w:rsidRPr="0016310E">
              <w:rPr>
                <w:b/>
                <w:szCs w:val="22"/>
              </w:rPr>
              <w:t>Calculation of emissions reduction</w:t>
            </w:r>
            <w:r w:rsidR="009E3F0E" w:rsidRPr="0016310E">
              <w:rPr>
                <w:rFonts w:hint="eastAsia"/>
                <w:b/>
                <w:szCs w:val="22"/>
              </w:rPr>
              <w:t>s</w:t>
            </w:r>
          </w:p>
        </w:tc>
      </w:tr>
    </w:tbl>
    <w:p w14:paraId="40110F31"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21998F5D" w14:textId="77777777" w:rsidTr="00FC2BC0">
        <w:tc>
          <w:tcPr>
            <w:tcW w:w="8702" w:type="dxa"/>
          </w:tcPr>
          <w:p w14:paraId="6980A05E" w14:textId="77777777" w:rsidR="002F7302" w:rsidRDefault="002F7302" w:rsidP="002F7302">
            <w:pPr>
              <w:pStyle w:val="1"/>
              <w:numPr>
                <w:ilvl w:val="0"/>
                <w:numId w:val="0"/>
              </w:numPr>
              <w:tabs>
                <w:tab w:val="clear" w:pos="680"/>
                <w:tab w:val="left" w:pos="840"/>
              </w:tabs>
              <w:rPr>
                <w:color w:val="auto"/>
                <w:kern w:val="2"/>
              </w:rPr>
            </w:pPr>
          </w:p>
          <w:p w14:paraId="069520A0" w14:textId="77777777" w:rsidR="002F7302" w:rsidRPr="002F7302" w:rsidRDefault="00E8635A" w:rsidP="002F7302">
            <w:pPr>
              <w:pStyle w:val="1"/>
              <w:numPr>
                <w:ilvl w:val="0"/>
                <w:numId w:val="0"/>
              </w:numPr>
              <w:tabs>
                <w:tab w:val="clear" w:pos="680"/>
                <w:tab w:val="left" w:pos="840"/>
              </w:tabs>
              <w:rPr>
                <w:i/>
                <w:color w:val="auto"/>
                <w:kern w:val="2"/>
              </w:rPr>
            </w:pPr>
            <m:oMathPara>
              <m:oMath>
                <m:sSub>
                  <m:sSubPr>
                    <m:ctrlPr>
                      <w:rPr>
                        <w:rFonts w:ascii="Cambria Math" w:hAnsi="Cambria Math"/>
                        <w:i/>
                      </w:rPr>
                    </m:ctrlPr>
                  </m:sSubPr>
                  <m:e>
                    <m:r>
                      <w:rPr>
                        <w:rFonts w:ascii="Cambria Math" w:hAnsi="Cambria Math"/>
                      </w:rPr>
                      <m:t>ER</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RE</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PE</m:t>
                    </m:r>
                  </m:e>
                  <m:sub>
                    <m:r>
                      <w:rPr>
                        <w:rFonts w:ascii="Cambria Math" w:hAnsi="Cambria Math"/>
                      </w:rPr>
                      <m:t>p</m:t>
                    </m:r>
                  </m:sub>
                </m:sSub>
              </m:oMath>
            </m:oMathPara>
          </w:p>
          <w:p w14:paraId="221151E0" w14:textId="77777777" w:rsidR="002F7302" w:rsidRDefault="002F7302" w:rsidP="002F7302">
            <w:pPr>
              <w:pStyle w:val="1"/>
              <w:numPr>
                <w:ilvl w:val="0"/>
                <w:numId w:val="0"/>
              </w:numPr>
              <w:tabs>
                <w:tab w:val="clear" w:pos="680"/>
                <w:tab w:val="left" w:pos="840"/>
              </w:tabs>
              <w:rPr>
                <w:color w:val="auto"/>
                <w:kern w:val="2"/>
              </w:rPr>
            </w:pPr>
            <w:r>
              <w:rPr>
                <w:color w:val="auto"/>
                <w:kern w:val="2"/>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7159"/>
            </w:tblGrid>
            <w:tr w:rsidR="002F7302" w14:paraId="6F0FEB2A" w14:textId="77777777" w:rsidTr="002F7302">
              <w:tc>
                <w:tcPr>
                  <w:tcW w:w="1134" w:type="dxa"/>
                  <w:hideMark/>
                </w:tcPr>
                <w:p w14:paraId="0D7EB740" w14:textId="77777777" w:rsidR="002F7302" w:rsidRPr="002F7302" w:rsidRDefault="00E8635A" w:rsidP="002F7302">
                  <w:pPr>
                    <w:pStyle w:val="1"/>
                    <w:numPr>
                      <w:ilvl w:val="0"/>
                      <w:numId w:val="0"/>
                    </w:numPr>
                    <w:tabs>
                      <w:tab w:val="clear" w:pos="680"/>
                      <w:tab w:val="left" w:pos="840"/>
                    </w:tabs>
                    <w:rPr>
                      <w:i/>
                      <w:color w:val="auto"/>
                    </w:rPr>
                  </w:pPr>
                  <m:oMathPara>
                    <m:oMathParaPr>
                      <m:jc m:val="left"/>
                    </m:oMathParaPr>
                    <m:oMath>
                      <m:sSub>
                        <m:sSubPr>
                          <m:ctrlPr>
                            <w:rPr>
                              <w:rFonts w:ascii="Cambria Math" w:hAnsi="Cambria Math"/>
                              <w:i/>
                            </w:rPr>
                          </m:ctrlPr>
                        </m:sSubPr>
                        <m:e>
                          <m:r>
                            <w:rPr>
                              <w:rFonts w:ascii="Cambria Math" w:hAnsi="Cambria Math"/>
                            </w:rPr>
                            <m:t>ER</m:t>
                          </m:r>
                        </m:e>
                        <m:sub>
                          <m:r>
                            <w:rPr>
                              <w:rFonts w:ascii="Cambria Math" w:hAnsi="Cambria Math"/>
                            </w:rPr>
                            <m:t>p</m:t>
                          </m:r>
                        </m:sub>
                      </m:sSub>
                    </m:oMath>
                  </m:oMathPara>
                </w:p>
              </w:tc>
              <w:tc>
                <w:tcPr>
                  <w:tcW w:w="7337" w:type="dxa"/>
                  <w:hideMark/>
                </w:tcPr>
                <w:p w14:paraId="5148C08E" w14:textId="77777777" w:rsidR="002F7302" w:rsidRDefault="002F7302" w:rsidP="002F7302">
                  <w:pPr>
                    <w:pStyle w:val="1"/>
                    <w:numPr>
                      <w:ilvl w:val="0"/>
                      <w:numId w:val="0"/>
                    </w:numPr>
                    <w:tabs>
                      <w:tab w:val="clear" w:pos="680"/>
                      <w:tab w:val="left" w:pos="840"/>
                    </w:tabs>
                    <w:rPr>
                      <w:color w:val="auto"/>
                    </w:rPr>
                  </w:pPr>
                  <w:r>
                    <w:rPr>
                      <w:color w:val="auto"/>
                    </w:rPr>
                    <w:t xml:space="preserve">: Emission reductions during the period </w:t>
                  </w:r>
                  <w:r>
                    <w:rPr>
                      <w:i/>
                      <w:color w:val="auto"/>
                    </w:rPr>
                    <w:t>p</w:t>
                  </w:r>
                  <w:r>
                    <w:rPr>
                      <w:color w:val="auto"/>
                    </w:rPr>
                    <w:t xml:space="preserve"> [tCO</w:t>
                  </w:r>
                  <w:r>
                    <w:rPr>
                      <w:color w:val="auto"/>
                      <w:vertAlign w:val="subscript"/>
                    </w:rPr>
                    <w:t>2</w:t>
                  </w:r>
                  <w:r>
                    <w:rPr>
                      <w:color w:val="auto"/>
                    </w:rPr>
                    <w:t>/p]</w:t>
                  </w:r>
                </w:p>
              </w:tc>
            </w:tr>
            <w:tr w:rsidR="002F7302" w14:paraId="7F318516" w14:textId="77777777" w:rsidTr="002F7302">
              <w:tc>
                <w:tcPr>
                  <w:tcW w:w="1134" w:type="dxa"/>
                  <w:hideMark/>
                </w:tcPr>
                <w:p w14:paraId="50BD9375" w14:textId="77777777" w:rsidR="002F7302" w:rsidRPr="002F7302" w:rsidRDefault="00E8635A" w:rsidP="002F7302">
                  <w:pPr>
                    <w:pStyle w:val="1"/>
                    <w:numPr>
                      <w:ilvl w:val="0"/>
                      <w:numId w:val="0"/>
                    </w:numPr>
                    <w:tabs>
                      <w:tab w:val="clear" w:pos="680"/>
                      <w:tab w:val="left" w:pos="840"/>
                    </w:tabs>
                    <w:rPr>
                      <w:i/>
                      <w:color w:val="auto"/>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p</m:t>
                          </m:r>
                        </m:sub>
                      </m:sSub>
                    </m:oMath>
                  </m:oMathPara>
                </w:p>
              </w:tc>
              <w:tc>
                <w:tcPr>
                  <w:tcW w:w="7337" w:type="dxa"/>
                  <w:hideMark/>
                </w:tcPr>
                <w:p w14:paraId="13CECA3F" w14:textId="77777777" w:rsidR="002F7302" w:rsidRDefault="002F7302" w:rsidP="002F7302">
                  <w:pPr>
                    <w:pStyle w:val="1"/>
                    <w:numPr>
                      <w:ilvl w:val="0"/>
                      <w:numId w:val="0"/>
                    </w:numPr>
                    <w:tabs>
                      <w:tab w:val="clear" w:pos="680"/>
                      <w:tab w:val="left" w:pos="840"/>
                    </w:tabs>
                    <w:rPr>
                      <w:color w:val="auto"/>
                    </w:rPr>
                  </w:pPr>
                  <w:r>
                    <w:rPr>
                      <w:color w:val="auto"/>
                    </w:rPr>
                    <w:t xml:space="preserve">: Reference emissions during the period </w:t>
                  </w:r>
                  <w:r>
                    <w:rPr>
                      <w:i/>
                      <w:color w:val="auto"/>
                    </w:rPr>
                    <w:t>p</w:t>
                  </w:r>
                  <w:r>
                    <w:rPr>
                      <w:color w:val="auto"/>
                    </w:rPr>
                    <w:t xml:space="preserve"> [tCO</w:t>
                  </w:r>
                  <w:r>
                    <w:rPr>
                      <w:color w:val="auto"/>
                      <w:vertAlign w:val="subscript"/>
                    </w:rPr>
                    <w:t>2</w:t>
                  </w:r>
                  <w:r>
                    <w:rPr>
                      <w:color w:val="auto"/>
                    </w:rPr>
                    <w:t>/p]</w:t>
                  </w:r>
                </w:p>
              </w:tc>
            </w:tr>
            <w:tr w:rsidR="002F7302" w14:paraId="65B60FD7" w14:textId="77777777" w:rsidTr="002F7302">
              <w:tc>
                <w:tcPr>
                  <w:tcW w:w="1134" w:type="dxa"/>
                  <w:hideMark/>
                </w:tcPr>
                <w:p w14:paraId="29CB91A8" w14:textId="77777777" w:rsidR="002F7302" w:rsidRPr="002F7302" w:rsidRDefault="00E8635A" w:rsidP="002F7302">
                  <w:pPr>
                    <w:pStyle w:val="1"/>
                    <w:numPr>
                      <w:ilvl w:val="0"/>
                      <w:numId w:val="0"/>
                    </w:numPr>
                    <w:tabs>
                      <w:tab w:val="clear" w:pos="680"/>
                      <w:tab w:val="left" w:pos="840"/>
                    </w:tabs>
                    <w:rPr>
                      <w:i/>
                      <w:color w:val="auto"/>
                    </w:rPr>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p</m:t>
                          </m:r>
                        </m:sub>
                      </m:sSub>
                    </m:oMath>
                  </m:oMathPara>
                </w:p>
              </w:tc>
              <w:tc>
                <w:tcPr>
                  <w:tcW w:w="7337" w:type="dxa"/>
                  <w:hideMark/>
                </w:tcPr>
                <w:p w14:paraId="019FACD5" w14:textId="77777777" w:rsidR="002F7302" w:rsidRDefault="002F7302" w:rsidP="002F7302">
                  <w:pPr>
                    <w:pStyle w:val="1"/>
                    <w:numPr>
                      <w:ilvl w:val="0"/>
                      <w:numId w:val="0"/>
                    </w:numPr>
                    <w:tabs>
                      <w:tab w:val="clear" w:pos="680"/>
                      <w:tab w:val="left" w:pos="840"/>
                    </w:tabs>
                    <w:rPr>
                      <w:color w:val="auto"/>
                    </w:rPr>
                  </w:pPr>
                  <w:r>
                    <w:rPr>
                      <w:color w:val="auto"/>
                    </w:rPr>
                    <w:t xml:space="preserve">: Project emissions during the period </w:t>
                  </w:r>
                  <w:r>
                    <w:rPr>
                      <w:i/>
                      <w:color w:val="auto"/>
                    </w:rPr>
                    <w:t>p</w:t>
                  </w:r>
                  <w:r>
                    <w:rPr>
                      <w:color w:val="auto"/>
                    </w:rPr>
                    <w:t xml:space="preserve"> [tCO</w:t>
                  </w:r>
                  <w:r>
                    <w:rPr>
                      <w:color w:val="auto"/>
                      <w:vertAlign w:val="subscript"/>
                    </w:rPr>
                    <w:t>2</w:t>
                  </w:r>
                  <w:r>
                    <w:rPr>
                      <w:color w:val="auto"/>
                    </w:rPr>
                    <w:t>/p]</w:t>
                  </w:r>
                </w:p>
              </w:tc>
            </w:tr>
          </w:tbl>
          <w:p w14:paraId="148A883F" w14:textId="77777777" w:rsidR="0016310E" w:rsidRPr="002F7302" w:rsidRDefault="0016310E" w:rsidP="00FC2BC0">
            <w:pPr>
              <w:rPr>
                <w:szCs w:val="22"/>
              </w:rPr>
            </w:pPr>
          </w:p>
        </w:tc>
      </w:tr>
    </w:tbl>
    <w:p w14:paraId="1B1D9849" w14:textId="77777777" w:rsidR="0016310E" w:rsidRPr="0016310E" w:rsidRDefault="0016310E" w:rsidP="00015F7F">
      <w:pPr>
        <w:rPr>
          <w:color w:val="FF0000"/>
          <w:szCs w:val="22"/>
        </w:rPr>
      </w:pPr>
    </w:p>
    <w:p w14:paraId="5967F685" w14:textId="77777777" w:rsidR="00E14752" w:rsidRPr="0016310E"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16310E" w14:paraId="516AF862" w14:textId="77777777">
        <w:tc>
          <w:tcPr>
            <w:tcW w:w="8702" w:type="dxa"/>
            <w:shd w:val="clear" w:color="auto" w:fill="17365D"/>
          </w:tcPr>
          <w:p w14:paraId="04692988" w14:textId="77777777" w:rsidR="00E14752" w:rsidRPr="0016310E" w:rsidRDefault="000559C5" w:rsidP="00215D29">
            <w:pPr>
              <w:numPr>
                <w:ilvl w:val="1"/>
                <w:numId w:val="3"/>
              </w:numPr>
              <w:rPr>
                <w:b/>
                <w:color w:val="FFFFFF"/>
                <w:szCs w:val="22"/>
              </w:rPr>
            </w:pPr>
            <w:bookmarkStart w:id="55" w:name="_Ref348725876"/>
            <w:r w:rsidRPr="0016310E">
              <w:rPr>
                <w:rFonts w:hint="eastAsia"/>
                <w:b/>
                <w:color w:val="FFFFFF"/>
                <w:szCs w:val="22"/>
              </w:rPr>
              <w:t xml:space="preserve">Data and parameters fixed </w:t>
            </w:r>
            <w:r w:rsidRPr="0016310E">
              <w:rPr>
                <w:rFonts w:hint="eastAsia"/>
                <w:b/>
                <w:i/>
                <w:color w:val="FFFFFF"/>
                <w:szCs w:val="22"/>
              </w:rPr>
              <w:t>ex ante</w:t>
            </w:r>
            <w:bookmarkEnd w:id="55"/>
          </w:p>
        </w:tc>
      </w:tr>
    </w:tbl>
    <w:p w14:paraId="0FC7A75D" w14:textId="77777777" w:rsidR="00E14752" w:rsidRPr="0016310E" w:rsidRDefault="00E14752" w:rsidP="00E14752">
      <w:pPr>
        <w:rPr>
          <w:szCs w:val="22"/>
        </w:rPr>
      </w:pPr>
      <w:r w:rsidRPr="0016310E">
        <w:rPr>
          <w:rFonts w:hint="eastAsia"/>
          <w:szCs w:val="22"/>
        </w:rPr>
        <w:t xml:space="preserve">The source of each </w:t>
      </w:r>
      <w:r w:rsidR="00F643F9" w:rsidRPr="0016310E">
        <w:rPr>
          <w:szCs w:val="22"/>
        </w:rPr>
        <w:t xml:space="preserve">data and parameter fixed </w:t>
      </w:r>
      <w:r w:rsidR="00F643F9" w:rsidRPr="0016310E">
        <w:rPr>
          <w:i/>
          <w:szCs w:val="22"/>
        </w:rPr>
        <w:t>ex ante</w:t>
      </w:r>
      <w:r w:rsidRPr="0016310E">
        <w:rPr>
          <w:rFonts w:hint="eastAsia"/>
          <w:szCs w:val="22"/>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2774"/>
      </w:tblGrid>
      <w:tr w:rsidR="00E14752" w:rsidRPr="0016310E" w14:paraId="5E86091A" w14:textId="77777777" w:rsidTr="00972320">
        <w:tc>
          <w:tcPr>
            <w:tcW w:w="1368" w:type="dxa"/>
            <w:shd w:val="clear" w:color="auto" w:fill="C6D9F1"/>
          </w:tcPr>
          <w:p w14:paraId="796C5381" w14:textId="77777777" w:rsidR="00E14752" w:rsidRPr="0016310E" w:rsidRDefault="00E14752" w:rsidP="001A1BA7">
            <w:pPr>
              <w:jc w:val="center"/>
              <w:rPr>
                <w:szCs w:val="22"/>
              </w:rPr>
            </w:pPr>
            <w:r w:rsidRPr="0016310E">
              <w:rPr>
                <w:rFonts w:hint="eastAsia"/>
                <w:szCs w:val="22"/>
              </w:rPr>
              <w:t>Parameter</w:t>
            </w:r>
          </w:p>
        </w:tc>
        <w:tc>
          <w:tcPr>
            <w:tcW w:w="4358" w:type="dxa"/>
            <w:shd w:val="clear" w:color="auto" w:fill="C6D9F1"/>
          </w:tcPr>
          <w:p w14:paraId="4BCC68F5" w14:textId="77777777" w:rsidR="00E14752" w:rsidRPr="0016310E" w:rsidRDefault="00E14752" w:rsidP="001A1BA7">
            <w:pPr>
              <w:jc w:val="center"/>
              <w:rPr>
                <w:szCs w:val="22"/>
              </w:rPr>
            </w:pPr>
            <w:r w:rsidRPr="0016310E">
              <w:rPr>
                <w:rFonts w:hint="eastAsia"/>
                <w:szCs w:val="22"/>
              </w:rPr>
              <w:t>Description of data</w:t>
            </w:r>
          </w:p>
        </w:tc>
        <w:tc>
          <w:tcPr>
            <w:tcW w:w="2774" w:type="dxa"/>
            <w:shd w:val="clear" w:color="auto" w:fill="C6D9F1"/>
          </w:tcPr>
          <w:p w14:paraId="7BE36AD3" w14:textId="77777777" w:rsidR="00E14752" w:rsidRPr="0016310E" w:rsidRDefault="00E14752" w:rsidP="001A1BA7">
            <w:pPr>
              <w:jc w:val="center"/>
              <w:rPr>
                <w:szCs w:val="22"/>
              </w:rPr>
            </w:pPr>
            <w:r w:rsidRPr="0016310E">
              <w:rPr>
                <w:rFonts w:hint="eastAsia"/>
                <w:szCs w:val="22"/>
              </w:rPr>
              <w:t>Source</w:t>
            </w:r>
          </w:p>
        </w:tc>
      </w:tr>
      <w:tr w:rsidR="00A17FF9" w:rsidRPr="0016310E" w14:paraId="36B27EB8" w14:textId="77777777" w:rsidTr="00972320">
        <w:tc>
          <w:tcPr>
            <w:tcW w:w="1368" w:type="dxa"/>
            <w:shd w:val="clear" w:color="auto" w:fill="auto"/>
          </w:tcPr>
          <w:p w14:paraId="57180C60" w14:textId="1E104466" w:rsidR="00EC5CE2" w:rsidRPr="0016310E" w:rsidRDefault="00AD76FC" w:rsidP="00A17FF9">
            <w:pPr>
              <w:rPr>
                <w:szCs w:val="22"/>
              </w:rPr>
            </w:pPr>
            <m:oMathPara>
              <m:oMath>
                <m:r>
                  <w:rPr>
                    <w:rFonts w:ascii="Cambria Math" w:hAnsi="Cambria Math"/>
                    <w:szCs w:val="22"/>
                  </w:rPr>
                  <m:t>RR</m:t>
                </m:r>
              </m:oMath>
            </m:oMathPara>
          </w:p>
        </w:tc>
        <w:tc>
          <w:tcPr>
            <w:tcW w:w="4358" w:type="dxa"/>
            <w:shd w:val="clear" w:color="auto" w:fill="auto"/>
          </w:tcPr>
          <w:p w14:paraId="509FA839" w14:textId="0FB42C3D" w:rsidR="00EC5CE2" w:rsidRDefault="00EC5CE2" w:rsidP="001A655F">
            <w:pPr>
              <w:rPr>
                <w:szCs w:val="22"/>
              </w:rPr>
            </w:pPr>
            <w:r>
              <w:rPr>
                <w:szCs w:val="22"/>
              </w:rPr>
              <w:t xml:space="preserve">Reduction </w:t>
            </w:r>
            <w:r w:rsidR="006521D7">
              <w:rPr>
                <w:szCs w:val="22"/>
              </w:rPr>
              <w:t>ratio</w:t>
            </w:r>
            <w:r>
              <w:rPr>
                <w:szCs w:val="22"/>
              </w:rPr>
              <w:t xml:space="preserve"> of specific electricity consumption of the project injection molding machine </w:t>
            </w:r>
            <w:r w:rsidR="00AD76FC">
              <w:rPr>
                <w:szCs w:val="22"/>
              </w:rPr>
              <w:t xml:space="preserve">to the reference </w:t>
            </w:r>
            <w:r w:rsidR="00AD76FC" w:rsidRPr="00EE3648">
              <w:rPr>
                <w:szCs w:val="22"/>
              </w:rPr>
              <w:t>injection molding machine</w:t>
            </w:r>
            <w:r w:rsidR="00AD76FC">
              <w:rPr>
                <w:szCs w:val="22"/>
              </w:rPr>
              <w:t xml:space="preserve"> </w:t>
            </w:r>
            <w:r>
              <w:rPr>
                <w:szCs w:val="22"/>
              </w:rPr>
              <w:t>[</w:t>
            </w:r>
            <w:r w:rsidR="002409F7">
              <w:rPr>
                <w:szCs w:val="22"/>
              </w:rPr>
              <w:t>-</w:t>
            </w:r>
            <w:r>
              <w:rPr>
                <w:szCs w:val="22"/>
              </w:rPr>
              <w:t>]</w:t>
            </w:r>
          </w:p>
          <w:p w14:paraId="36240926" w14:textId="77777777" w:rsidR="00A17FF9" w:rsidRPr="00C2794D" w:rsidRDefault="00A17FF9" w:rsidP="00A17FF9">
            <w:pPr>
              <w:rPr>
                <w:szCs w:val="22"/>
              </w:rPr>
            </w:pPr>
          </w:p>
          <w:p w14:paraId="2A40B9BA" w14:textId="207BED58" w:rsidR="00A17FF9" w:rsidRDefault="00A17FF9" w:rsidP="001A655F">
            <w:r w:rsidRPr="00C66611">
              <w:t xml:space="preserve">The default value of </w:t>
            </w:r>
            <w:r w:rsidR="00DC1B16">
              <w:t>R</w:t>
            </w:r>
            <w:r w:rsidRPr="00C66611">
              <w:t>R is set at the m</w:t>
            </w:r>
            <w:r w:rsidR="00214AE0">
              <w:t>ax</w:t>
            </w:r>
            <w:r w:rsidR="000B703C">
              <w:t>i</w:t>
            </w:r>
            <w:r w:rsidRPr="00C66611">
              <w:t xml:space="preserve">mum value in a conservative manner, as </w:t>
            </w:r>
            <w:proofErr w:type="gramStart"/>
            <w:r w:rsidRPr="00C66611">
              <w:t>follows;</w:t>
            </w:r>
            <w:proofErr w:type="gramEnd"/>
          </w:p>
          <w:p w14:paraId="1021D2B0" w14:textId="14F2564C" w:rsidR="00A17FF9" w:rsidRPr="00474D2F" w:rsidRDefault="00474D2F" w:rsidP="00A17FF9">
            <w:pPr>
              <w:jc w:val="left"/>
              <w:rPr>
                <w:b/>
              </w:rPr>
            </w:pPr>
            <m:oMathPara>
              <m:oMath>
                <m:r>
                  <m:rPr>
                    <m:sty m:val="b"/>
                  </m:rPr>
                  <w:rPr>
                    <w:rFonts w:ascii="Cambria Math" w:hAnsi="Cambria Math"/>
                  </w:rPr>
                  <m:t>RR=0.532</m:t>
                </m:r>
              </m:oMath>
            </m:oMathPara>
          </w:p>
          <w:p w14:paraId="7C9C73AA" w14:textId="77777777" w:rsidR="00A17FF9" w:rsidRPr="00CC0DA0" w:rsidRDefault="00A17FF9" w:rsidP="00A17FF9">
            <w:pPr>
              <w:jc w:val="left"/>
              <w:rPr>
                <w:szCs w:val="22"/>
              </w:rPr>
            </w:pPr>
          </w:p>
        </w:tc>
        <w:tc>
          <w:tcPr>
            <w:tcW w:w="2774" w:type="dxa"/>
            <w:shd w:val="clear" w:color="auto" w:fill="auto"/>
          </w:tcPr>
          <w:p w14:paraId="3A1E4067" w14:textId="0D37210C" w:rsidR="00AD76FC" w:rsidRDefault="00AD76FC" w:rsidP="0015695C">
            <w:pPr>
              <w:rPr>
                <w:szCs w:val="22"/>
              </w:rPr>
            </w:pPr>
            <w:r>
              <w:rPr>
                <w:rFonts w:hint="eastAsia"/>
                <w:szCs w:val="22"/>
              </w:rPr>
              <w:t>D</w:t>
            </w:r>
            <w:r>
              <w:rPr>
                <w:szCs w:val="22"/>
              </w:rPr>
              <w:t xml:space="preserve">ata collected from the manufacturer of </w:t>
            </w:r>
            <w:r w:rsidRPr="00810A92">
              <w:rPr>
                <w:szCs w:val="22"/>
              </w:rPr>
              <w:t>injection molding machine</w:t>
            </w:r>
            <w:r>
              <w:rPr>
                <w:szCs w:val="22"/>
              </w:rPr>
              <w:t>.</w:t>
            </w:r>
          </w:p>
          <w:p w14:paraId="515800B4" w14:textId="77777777" w:rsidR="00EC5CE2" w:rsidRPr="00D10F18" w:rsidRDefault="00EC5CE2" w:rsidP="00A17FF9">
            <w:pPr>
              <w:rPr>
                <w:szCs w:val="22"/>
              </w:rPr>
            </w:pPr>
          </w:p>
          <w:p w14:paraId="381FCAC3" w14:textId="53668EAA" w:rsidR="00A17FF9" w:rsidRPr="00CC0DA0" w:rsidRDefault="00A17FF9" w:rsidP="001A655F">
            <w:pPr>
              <w:rPr>
                <w:szCs w:val="22"/>
              </w:rPr>
            </w:pPr>
            <w:r w:rsidRPr="00D10F18">
              <w:rPr>
                <w:szCs w:val="22"/>
              </w:rPr>
              <w:t xml:space="preserve">The default value </w:t>
            </w:r>
            <w:r>
              <w:rPr>
                <w:szCs w:val="22"/>
              </w:rPr>
              <w:t>should be revised if necessary</w:t>
            </w:r>
            <w:r>
              <w:rPr>
                <w:rFonts w:hint="eastAsia"/>
                <w:szCs w:val="22"/>
              </w:rPr>
              <w:t>.</w:t>
            </w:r>
          </w:p>
        </w:tc>
      </w:tr>
      <w:tr w:rsidR="002F7302" w:rsidRPr="0016310E" w14:paraId="50DC5869" w14:textId="77777777" w:rsidTr="00972320">
        <w:tc>
          <w:tcPr>
            <w:tcW w:w="1368" w:type="dxa"/>
            <w:shd w:val="clear" w:color="auto" w:fill="auto"/>
          </w:tcPr>
          <w:p w14:paraId="78B4378D" w14:textId="77777777" w:rsidR="002F7302" w:rsidRPr="0016310E" w:rsidRDefault="00E8635A" w:rsidP="002F7302">
            <w:pPr>
              <w:jc w:val="left"/>
              <w:rPr>
                <w:szCs w:val="22"/>
              </w:rPr>
            </w:pPr>
            <m:oMathPara>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m:oMathPara>
          </w:p>
        </w:tc>
        <w:tc>
          <w:tcPr>
            <w:tcW w:w="4358" w:type="dxa"/>
            <w:shd w:val="clear" w:color="auto" w:fill="auto"/>
          </w:tcPr>
          <w:p w14:paraId="34C40CD7" w14:textId="50F1711C" w:rsidR="002F7302" w:rsidRDefault="002F7302">
            <w:pPr>
              <w:rPr>
                <w:rFonts w:eastAsiaTheme="minorEastAsia"/>
                <w:szCs w:val="22"/>
              </w:rPr>
            </w:pPr>
            <w:r>
              <w:rPr>
                <w:rFonts w:eastAsiaTheme="minorEastAsia"/>
                <w:szCs w:val="22"/>
              </w:rPr>
              <w:t>CO</w:t>
            </w:r>
            <w:r>
              <w:rPr>
                <w:rFonts w:eastAsiaTheme="minorEastAsia"/>
                <w:szCs w:val="22"/>
                <w:vertAlign w:val="subscript"/>
              </w:rPr>
              <w:t>2</w:t>
            </w:r>
            <w:r>
              <w:rPr>
                <w:rFonts w:eastAsiaTheme="minorEastAsia"/>
                <w:szCs w:val="22"/>
              </w:rPr>
              <w:t xml:space="preserve"> emission factor for consumed electricity.</w:t>
            </w:r>
          </w:p>
          <w:p w14:paraId="269D3EB3" w14:textId="77777777" w:rsidR="0015695C" w:rsidRDefault="0015695C">
            <w:pPr>
              <w:rPr>
                <w:rFonts w:eastAsiaTheme="minorEastAsia"/>
                <w:szCs w:val="22"/>
              </w:rPr>
            </w:pPr>
          </w:p>
          <w:p w14:paraId="602D6E3E" w14:textId="797B0E4C" w:rsidR="002F7302" w:rsidRDefault="002F7302">
            <w:pPr>
              <w:rPr>
                <w:rFonts w:eastAsiaTheme="minorEastAsia"/>
                <w:szCs w:val="22"/>
              </w:rPr>
            </w:pPr>
            <w:r>
              <w:rPr>
                <w:rFonts w:eastAsiaTheme="minorEastAsia"/>
                <w:szCs w:val="22"/>
              </w:rPr>
              <w:t xml:space="preserve">When the project </w:t>
            </w:r>
            <w:r w:rsidR="009F1258">
              <w:rPr>
                <w:rFonts w:eastAsiaTheme="minorEastAsia"/>
                <w:szCs w:val="22"/>
              </w:rPr>
              <w:t>electricity</w:t>
            </w:r>
            <w:r>
              <w:rPr>
                <w:rFonts w:eastAsiaTheme="minorEastAsia"/>
                <w:szCs w:val="22"/>
              </w:rPr>
              <w:t xml:space="preserve"> consumes only grid electricity or captive electricity, the project participant applies the CO</w:t>
            </w:r>
            <w:r>
              <w:rPr>
                <w:rFonts w:eastAsiaTheme="minorEastAsia"/>
                <w:szCs w:val="22"/>
                <w:vertAlign w:val="subscript"/>
              </w:rPr>
              <w:t>2</w:t>
            </w:r>
            <w:r>
              <w:rPr>
                <w:rFonts w:eastAsiaTheme="minorEastAsia"/>
                <w:szCs w:val="22"/>
              </w:rPr>
              <w:t xml:space="preserve"> emission factor respectively.</w:t>
            </w:r>
          </w:p>
          <w:p w14:paraId="00E07F6F" w14:textId="77777777" w:rsidR="0015695C" w:rsidRDefault="0015695C">
            <w:pPr>
              <w:rPr>
                <w:rFonts w:eastAsiaTheme="minorEastAsia"/>
                <w:szCs w:val="22"/>
              </w:rPr>
            </w:pPr>
          </w:p>
          <w:p w14:paraId="49EB2E11" w14:textId="77777777" w:rsidR="002F7302" w:rsidRDefault="002F7302">
            <w:pPr>
              <w:rPr>
                <w:rFonts w:eastAsiaTheme="minorEastAsia"/>
                <w:szCs w:val="22"/>
              </w:rPr>
            </w:pPr>
            <w:r>
              <w:rPr>
                <w:rFonts w:eastAsiaTheme="minorEastAsia"/>
                <w:szCs w:val="22"/>
              </w:rPr>
              <w:t xml:space="preserve">When the project </w:t>
            </w:r>
            <w:r w:rsidR="00FF122A">
              <w:rPr>
                <w:rFonts w:eastAsiaTheme="minorEastAsia"/>
                <w:szCs w:val="22"/>
              </w:rPr>
              <w:t>molding machine</w:t>
            </w:r>
            <w:r>
              <w:rPr>
                <w:rFonts w:eastAsiaTheme="minorEastAsia"/>
                <w:szCs w:val="22"/>
              </w:rPr>
              <w:t xml:space="preserve"> may consume both grid electricity and captive electricity, the project participant applies the CO</w:t>
            </w:r>
            <w:r>
              <w:rPr>
                <w:rFonts w:eastAsiaTheme="minorEastAsia"/>
                <w:szCs w:val="22"/>
                <w:vertAlign w:val="subscript"/>
              </w:rPr>
              <w:t>2</w:t>
            </w:r>
            <w:r>
              <w:rPr>
                <w:rFonts w:eastAsiaTheme="minorEastAsia"/>
                <w:szCs w:val="22"/>
              </w:rPr>
              <w:t xml:space="preserve"> emission factors </w:t>
            </w:r>
            <w:r>
              <w:rPr>
                <w:szCs w:val="22"/>
              </w:rPr>
              <w:t>with lower value.</w:t>
            </w:r>
          </w:p>
          <w:p w14:paraId="5E533171" w14:textId="77777777" w:rsidR="002F7302" w:rsidRDefault="002F7302">
            <w:pPr>
              <w:rPr>
                <w:rFonts w:eastAsiaTheme="minorEastAsia"/>
                <w:szCs w:val="22"/>
              </w:rPr>
            </w:pPr>
          </w:p>
          <w:p w14:paraId="389CB223" w14:textId="77777777" w:rsidR="002F7302" w:rsidRDefault="002F7302">
            <w:pPr>
              <w:rPr>
                <w:rFonts w:eastAsiaTheme="minorEastAsia"/>
                <w:szCs w:val="22"/>
              </w:rPr>
            </w:pPr>
            <w:r>
              <w:rPr>
                <w:rFonts w:eastAsiaTheme="minorEastAsia"/>
                <w:szCs w:val="22"/>
              </w:rPr>
              <w:t>[CO</w:t>
            </w:r>
            <w:r>
              <w:rPr>
                <w:rFonts w:eastAsiaTheme="minorEastAsia"/>
                <w:szCs w:val="22"/>
                <w:vertAlign w:val="subscript"/>
              </w:rPr>
              <w:t>2</w:t>
            </w:r>
            <w:r>
              <w:rPr>
                <w:rFonts w:eastAsiaTheme="minorEastAsia"/>
                <w:szCs w:val="22"/>
              </w:rPr>
              <w:t xml:space="preserve"> emission factor]</w:t>
            </w:r>
          </w:p>
          <w:p w14:paraId="6E6ACCBE" w14:textId="3F8588AF" w:rsidR="002F7302" w:rsidRDefault="002F7302">
            <w:pPr>
              <w:rPr>
                <w:rFonts w:eastAsiaTheme="minorEastAsia"/>
                <w:szCs w:val="22"/>
              </w:rPr>
            </w:pPr>
            <w:r>
              <w:rPr>
                <w:rFonts w:eastAsiaTheme="minorEastAsia"/>
                <w:szCs w:val="22"/>
              </w:rPr>
              <w:t>For grid electricity: The most recent value available from the source stated in this table at the time of validation</w:t>
            </w:r>
          </w:p>
          <w:p w14:paraId="00D986BC" w14:textId="77777777" w:rsidR="0015695C" w:rsidRDefault="0015695C">
            <w:pPr>
              <w:rPr>
                <w:rFonts w:eastAsiaTheme="minorEastAsia"/>
                <w:szCs w:val="22"/>
              </w:rPr>
            </w:pPr>
          </w:p>
          <w:p w14:paraId="6F111473" w14:textId="2E9FEFA4" w:rsidR="0015695C" w:rsidRPr="0015695C" w:rsidRDefault="0015695C">
            <w:r w:rsidRPr="00F4664F">
              <w:t>For captive electricity, it is determined based on the following options:</w:t>
            </w:r>
          </w:p>
          <w:p w14:paraId="7D4A7A35" w14:textId="77777777" w:rsidR="0015695C" w:rsidRPr="0015695C" w:rsidRDefault="0015695C"/>
          <w:p w14:paraId="2D3F3BF7" w14:textId="77777777" w:rsidR="0015695C" w:rsidRPr="00F4664F" w:rsidRDefault="0015695C">
            <w:pPr>
              <w:rPr>
                <w:u w:val="single"/>
              </w:rPr>
            </w:pPr>
            <w:r w:rsidRPr="00F4664F">
              <w:rPr>
                <w:u w:val="single"/>
              </w:rPr>
              <w:t>a) Calculated from its power generation efficiency (</w:t>
            </w:r>
            <w:proofErr w:type="spellStart"/>
            <w:r w:rsidRPr="00F4664F">
              <w:rPr>
                <w:i/>
                <w:u w:val="single"/>
              </w:rPr>
              <w:t>η</w:t>
            </w:r>
            <w:r w:rsidRPr="00F4664F">
              <w:rPr>
                <w:i/>
                <w:u w:val="single"/>
                <w:vertAlign w:val="subscript"/>
              </w:rPr>
              <w:t>elec</w:t>
            </w:r>
            <w:proofErr w:type="spellEnd"/>
            <w:r w:rsidRPr="00F4664F">
              <w:rPr>
                <w:u w:val="single"/>
              </w:rPr>
              <w:t xml:space="preserve"> [</w:t>
            </w:r>
            <w:r>
              <w:rPr>
                <w:u w:val="single"/>
              </w:rPr>
              <w:t>%</w:t>
            </w:r>
            <w:r w:rsidRPr="00F4664F">
              <w:rPr>
                <w:u w:val="single"/>
              </w:rPr>
              <w:t>]) obtained from manufacturer’s specification</w:t>
            </w:r>
          </w:p>
          <w:p w14:paraId="6DEC3E2E" w14:textId="77777777" w:rsidR="0015695C" w:rsidRPr="00F4664F" w:rsidRDefault="0015695C">
            <w:pPr>
              <w:rPr>
                <w:lang w:val="en-GB"/>
              </w:rPr>
            </w:pPr>
            <w:r w:rsidRPr="00F4664F">
              <w:t>The power generation efficiency based on lower heating value (LHV) of the captive power generation system from the manufacturer’s specification is applied;</w:t>
            </w:r>
            <w:r w:rsidRPr="00F4664F">
              <w:rPr>
                <w:lang w:val="en-GB"/>
              </w:rPr>
              <w:t xml:space="preserve"> </w:t>
            </w:r>
            <w:r w:rsidRPr="00F4664F">
              <w:rPr>
                <w:lang w:val="en-GB"/>
              </w:rPr>
              <w:br/>
            </w:r>
            <m:oMathPara>
              <m:oMathParaPr>
                <m:jc m:val="left"/>
              </m:oMathParaP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14:paraId="1B1A678B" w14:textId="77777777" w:rsidR="0015695C" w:rsidRPr="00F4664F" w:rsidRDefault="0015695C">
            <w:pPr>
              <w:rPr>
                <w:lang w:val="en-GB"/>
              </w:rPr>
            </w:pPr>
          </w:p>
          <w:p w14:paraId="5F030AA6" w14:textId="77777777" w:rsidR="0015695C" w:rsidRPr="00F4664F" w:rsidRDefault="0015695C">
            <w:pPr>
              <w:rPr>
                <w:u w:val="single"/>
                <w:lang w:val="en-GB"/>
              </w:rPr>
            </w:pPr>
            <w:r w:rsidRPr="00F4664F">
              <w:rPr>
                <w:u w:val="single"/>
                <w:lang w:val="en-GB"/>
              </w:rPr>
              <w:t>b) Calculated from measured data</w:t>
            </w:r>
          </w:p>
          <w:p w14:paraId="12BC6344" w14:textId="77777777" w:rsidR="0015695C" w:rsidRPr="00F4664F" w:rsidRDefault="0015695C">
            <w:pPr>
              <w:rPr>
                <w:lang w:val="en-GB"/>
              </w:rPr>
            </w:pPr>
            <w:r w:rsidRPr="00F4664F">
              <w:rPr>
                <w:lang w:val="en-GB"/>
              </w:rPr>
              <w:t>The power generation efficiency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Pr="00F4664F">
              <w:rPr>
                <w:rFonts w:hint="eastAsia"/>
              </w:rPr>
              <w:t>)</w:t>
            </w:r>
            <w:r w:rsidRPr="00F4664F">
              <w:t xml:space="preserve">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Pr="00F4664F">
              <w:rPr>
                <w:rFonts w:hint="eastAsia"/>
              </w:rPr>
              <w:t>)</w:t>
            </w:r>
            <w:r w:rsidRPr="00F4664F">
              <w:t xml:space="preserve"> during the monitoring period </w:t>
            </w:r>
            <w:r w:rsidRPr="00F4664F">
              <w:rPr>
                <w:i/>
              </w:rPr>
              <w:t>p</w:t>
            </w:r>
            <w:r w:rsidRPr="00F4664F">
              <w:t xml:space="preserve"> is applied. The measurement is conducted with the monitoring equipment to which calibration certificate is issued by an entity accredited under national/international </w:t>
            </w:r>
            <w:proofErr w:type="gramStart"/>
            <w:r w:rsidRPr="00F4664F">
              <w:t>standards;</w:t>
            </w:r>
            <w:proofErr w:type="gramEnd"/>
            <w:r w:rsidRPr="00F4664F">
              <w:rPr>
                <w:lang w:val="en-GB"/>
              </w:rPr>
              <w:t xml:space="preserve"> </w:t>
            </w:r>
          </w:p>
          <w:p w14:paraId="6038DCD3" w14:textId="77777777" w:rsidR="0015695C" w:rsidRPr="00F4664F" w:rsidRDefault="00E8635A">
            <w:pPr>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14:paraId="007C828B" w14:textId="77777777" w:rsidR="0015695C" w:rsidRPr="00F4664F" w:rsidRDefault="0015695C">
            <w:pPr>
              <w:rPr>
                <w:lang w:val="en-GB"/>
              </w:rPr>
            </w:pPr>
            <w:r w:rsidRPr="00F4664F">
              <w:rPr>
                <w:lang w:val="en-GB"/>
              </w:rPr>
              <w:t>W</w:t>
            </w:r>
            <w:r w:rsidRPr="00F4664F">
              <w:rPr>
                <w:rFonts w:hint="eastAsia"/>
                <w:lang w:val="en-GB"/>
              </w:rPr>
              <w:t>here:</w:t>
            </w:r>
            <w:r w:rsidRPr="00F4664F">
              <w:rPr>
                <w:lang w:val="en-GB"/>
              </w:rPr>
              <w:t xml:space="preserve"> </w:t>
            </w:r>
          </w:p>
          <w:p w14:paraId="43A8B396" w14:textId="77777777" w:rsidR="0015695C" w:rsidRPr="00F4664F" w:rsidRDefault="00E8635A">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15695C" w:rsidRPr="00F4664F">
              <w:rPr>
                <w:rFonts w:hint="eastAsia"/>
                <w:lang w:val="en-GB"/>
              </w:rPr>
              <w:t xml:space="preserve"> :</w:t>
            </w:r>
            <w:r w:rsidR="0015695C" w:rsidRPr="00F4664F">
              <w:t xml:space="preserve"> </w:t>
            </w:r>
            <w:r w:rsidR="0015695C" w:rsidRPr="00F4664F">
              <w:rPr>
                <w:lang w:val="en-GB"/>
              </w:rPr>
              <w:t>Net calorific value of consumed fuel [GJ/mass or volume]</w:t>
            </w:r>
          </w:p>
          <w:p w14:paraId="6D814ED5" w14:textId="77777777" w:rsidR="0015695C" w:rsidRPr="00F4664F" w:rsidRDefault="0015695C">
            <w:pPr>
              <w:rPr>
                <w:lang w:val="en-GB"/>
              </w:rPr>
            </w:pPr>
          </w:p>
          <w:p w14:paraId="14BA32C0" w14:textId="77777777" w:rsidR="0015695C" w:rsidRPr="00F4664F" w:rsidRDefault="0015695C">
            <w:pPr>
              <w:rPr>
                <w:lang w:val="en-GB"/>
              </w:rPr>
            </w:pPr>
            <w:r w:rsidRPr="00F4664F">
              <w:rPr>
                <w:lang w:val="en-GB"/>
              </w:rPr>
              <w:t>Note:</w:t>
            </w:r>
          </w:p>
          <w:p w14:paraId="46399C7B" w14:textId="77777777" w:rsidR="0015695C" w:rsidRPr="00F4664F" w:rsidRDefault="0015695C">
            <w:pPr>
              <w:rPr>
                <w:lang w:val="en-GB"/>
              </w:rPr>
            </w:pPr>
            <w:r w:rsidRPr="00F4664F">
              <w:rPr>
                <w:lang w:val="en-GB"/>
              </w:rPr>
              <w:t xml:space="preserve">In case the captive electricity generation system meets </w:t>
            </w:r>
            <w:proofErr w:type="gramStart"/>
            <w:r w:rsidRPr="00F4664F">
              <w:rPr>
                <w:lang w:val="en-GB"/>
              </w:rPr>
              <w:t>all of</w:t>
            </w:r>
            <w:proofErr w:type="gramEnd"/>
            <w:r w:rsidRPr="00F4664F">
              <w:rPr>
                <w:lang w:val="en-GB"/>
              </w:rPr>
              <w:t xml:space="preserve"> the following conditions, the value in the following table may be applied to </w:t>
            </w: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Pr="00F4664F">
              <w:t xml:space="preserve"> </w:t>
            </w:r>
            <w:r w:rsidRPr="00F4664F">
              <w:rPr>
                <w:lang w:val="en-GB"/>
              </w:rPr>
              <w:t>depending on the consumed fuel type.</w:t>
            </w:r>
          </w:p>
          <w:p w14:paraId="2B350562" w14:textId="77777777" w:rsidR="0015695C" w:rsidRPr="00F4664F" w:rsidRDefault="0015695C">
            <w:pPr>
              <w:rPr>
                <w:lang w:val="en-GB"/>
              </w:rPr>
            </w:pPr>
          </w:p>
          <w:p w14:paraId="2C1C4D41" w14:textId="77777777" w:rsidR="0015695C" w:rsidRPr="00F4664F" w:rsidRDefault="0015695C">
            <w:pPr>
              <w:pStyle w:val="afa"/>
              <w:numPr>
                <w:ilvl w:val="0"/>
                <w:numId w:val="7"/>
              </w:numPr>
              <w:ind w:leftChars="0"/>
              <w:rPr>
                <w:lang w:val="en-GB"/>
              </w:rPr>
            </w:pPr>
            <w:r w:rsidRPr="00F4664F">
              <w:rPr>
                <w:lang w:val="en-GB"/>
              </w:rPr>
              <w:t>The system is non-renewable generation system</w:t>
            </w:r>
          </w:p>
          <w:p w14:paraId="54CC897C" w14:textId="77777777" w:rsidR="0015695C" w:rsidRPr="00F4664F" w:rsidRDefault="0015695C">
            <w:pPr>
              <w:pStyle w:val="afa"/>
              <w:numPr>
                <w:ilvl w:val="0"/>
                <w:numId w:val="7"/>
              </w:numPr>
              <w:ind w:leftChars="0"/>
              <w:rPr>
                <w:lang w:val="en-GB"/>
              </w:rPr>
            </w:pPr>
            <w:r w:rsidRPr="00F4664F">
              <w:rPr>
                <w:lang w:val="en-GB"/>
              </w:rPr>
              <w:t>Electricity generation capacity of the system is less than or equal to 15 MW</w:t>
            </w:r>
          </w:p>
          <w:p w14:paraId="45C32FD7" w14:textId="77777777" w:rsidR="0015695C" w:rsidRPr="00F4664F" w:rsidRDefault="0015695C">
            <w:pPr>
              <w:rPr>
                <w:lang w:val="en-GB"/>
              </w:rPr>
            </w:pPr>
          </w:p>
          <w:tbl>
            <w:tblPr>
              <w:tblStyle w:val="af6"/>
              <w:tblW w:w="3984" w:type="dxa"/>
              <w:jc w:val="center"/>
              <w:tblLook w:val="04A0" w:firstRow="1" w:lastRow="0" w:firstColumn="1" w:lastColumn="0" w:noHBand="0" w:noVBand="1"/>
            </w:tblPr>
            <w:tblGrid>
              <w:gridCol w:w="1340"/>
              <w:gridCol w:w="1322"/>
              <w:gridCol w:w="1322"/>
            </w:tblGrid>
            <w:tr w:rsidR="0015695C" w:rsidRPr="00F4664F" w14:paraId="6E8771F7" w14:textId="77777777" w:rsidTr="001A655F">
              <w:trPr>
                <w:trHeight w:val="482"/>
                <w:jc w:val="center"/>
              </w:trPr>
              <w:tc>
                <w:tcPr>
                  <w:tcW w:w="1340" w:type="dxa"/>
                  <w:shd w:val="clear" w:color="auto" w:fill="DBE5F1" w:themeFill="accent1" w:themeFillTint="33"/>
                  <w:vAlign w:val="center"/>
                </w:tcPr>
                <w:p w14:paraId="6C0F241E" w14:textId="48B93EFE" w:rsidR="0015695C" w:rsidRPr="00F4664F" w:rsidRDefault="00E20B69" w:rsidP="001A655F">
                  <w:pPr>
                    <w:snapToGrid w:val="0"/>
                    <w:jc w:val="center"/>
                    <w:rPr>
                      <w:rFonts w:eastAsiaTheme="minorEastAsia"/>
                      <w:szCs w:val="22"/>
                    </w:rPr>
                  </w:pPr>
                  <w:r>
                    <w:rPr>
                      <w:rFonts w:eastAsiaTheme="minorEastAsia"/>
                      <w:szCs w:val="22"/>
                    </w:rPr>
                    <w:t>F</w:t>
                  </w:r>
                  <w:r w:rsidR="0015695C" w:rsidRPr="00F4664F">
                    <w:rPr>
                      <w:rFonts w:eastAsiaTheme="minorEastAsia"/>
                      <w:szCs w:val="22"/>
                    </w:rPr>
                    <w:t>uel type</w:t>
                  </w:r>
                </w:p>
              </w:tc>
              <w:tc>
                <w:tcPr>
                  <w:tcW w:w="1322" w:type="dxa"/>
                  <w:shd w:val="pct5" w:color="auto" w:fill="auto"/>
                  <w:vAlign w:val="center"/>
                </w:tcPr>
                <w:p w14:paraId="1BE98B03" w14:textId="25481FA2" w:rsidR="0015695C" w:rsidRPr="00F4664F" w:rsidRDefault="0015695C" w:rsidP="001A655F">
                  <w:pPr>
                    <w:snapToGrid w:val="0"/>
                    <w:jc w:val="center"/>
                    <w:rPr>
                      <w:szCs w:val="22"/>
                    </w:rPr>
                  </w:pPr>
                  <w:r w:rsidRPr="00F4664F">
                    <w:rPr>
                      <w:szCs w:val="22"/>
                    </w:rPr>
                    <w:t>Diesel fuel</w:t>
                  </w:r>
                </w:p>
              </w:tc>
              <w:tc>
                <w:tcPr>
                  <w:tcW w:w="1322" w:type="dxa"/>
                  <w:shd w:val="pct5" w:color="auto" w:fill="auto"/>
                  <w:vAlign w:val="center"/>
                </w:tcPr>
                <w:p w14:paraId="6986AC28" w14:textId="77777777" w:rsidR="0015695C" w:rsidRPr="00F4664F" w:rsidRDefault="0015695C" w:rsidP="001A655F">
                  <w:pPr>
                    <w:snapToGrid w:val="0"/>
                    <w:jc w:val="center"/>
                    <w:rPr>
                      <w:szCs w:val="22"/>
                    </w:rPr>
                  </w:pPr>
                  <w:r w:rsidRPr="00F4664F">
                    <w:rPr>
                      <w:szCs w:val="22"/>
                    </w:rPr>
                    <w:t>Natural gas</w:t>
                  </w:r>
                </w:p>
              </w:tc>
            </w:tr>
            <w:tr w:rsidR="0015695C" w:rsidRPr="00F4664F" w14:paraId="1B9521E7" w14:textId="77777777" w:rsidTr="001A655F">
              <w:trPr>
                <w:trHeight w:val="525"/>
                <w:jc w:val="center"/>
              </w:trPr>
              <w:tc>
                <w:tcPr>
                  <w:tcW w:w="1340" w:type="dxa"/>
                  <w:shd w:val="clear" w:color="auto" w:fill="DBE5F1" w:themeFill="accent1" w:themeFillTint="33"/>
                  <w:vAlign w:val="center"/>
                </w:tcPr>
                <w:p w14:paraId="5D2BFF19" w14:textId="77777777" w:rsidR="0015695C" w:rsidRPr="00F4664F" w:rsidRDefault="00E8635A" w:rsidP="001A655F">
                  <w:pPr>
                    <w:snapToGrid w:val="0"/>
                    <w:jc w:val="center"/>
                    <w:rPr>
                      <w:rFonts w:eastAsiaTheme="minorEastAsia"/>
                      <w:i/>
                      <w:szCs w:val="22"/>
                    </w:rPr>
                  </w:pPr>
                  <m:oMathPara>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m:oMathPara>
                </w:p>
              </w:tc>
              <w:tc>
                <w:tcPr>
                  <w:tcW w:w="1322" w:type="dxa"/>
                  <w:vAlign w:val="center"/>
                </w:tcPr>
                <w:p w14:paraId="7BE65159" w14:textId="77777777" w:rsidR="0015695C" w:rsidRPr="00F4664F" w:rsidRDefault="0015695C" w:rsidP="001A655F">
                  <w:pPr>
                    <w:pStyle w:val="afa"/>
                    <w:ind w:leftChars="0" w:left="0"/>
                    <w:jc w:val="center"/>
                  </w:pPr>
                  <w:r w:rsidRPr="00F4664F">
                    <w:t xml:space="preserve">0.8 </w:t>
                  </w:r>
                  <w:r w:rsidRPr="00F4664F">
                    <w:rPr>
                      <w:vertAlign w:val="subscript"/>
                      <w:lang w:val="en-GB"/>
                    </w:rPr>
                    <w:t>*1</w:t>
                  </w:r>
                </w:p>
              </w:tc>
              <w:tc>
                <w:tcPr>
                  <w:tcW w:w="1322" w:type="dxa"/>
                  <w:vAlign w:val="center"/>
                </w:tcPr>
                <w:p w14:paraId="4DCBB96B" w14:textId="77777777" w:rsidR="0015695C" w:rsidRPr="00F4664F" w:rsidRDefault="0015695C" w:rsidP="001A655F">
                  <w:pPr>
                    <w:pStyle w:val="afa"/>
                    <w:ind w:leftChars="0" w:left="0"/>
                    <w:jc w:val="center"/>
                  </w:pPr>
                  <w:r w:rsidRPr="00F4664F">
                    <w:rPr>
                      <w:kern w:val="0"/>
                    </w:rPr>
                    <w:t>0.46</w:t>
                  </w:r>
                  <w:r w:rsidRPr="00F4664F">
                    <w:t xml:space="preserve"> </w:t>
                  </w:r>
                  <w:r w:rsidRPr="00F4664F">
                    <w:rPr>
                      <w:vertAlign w:val="subscript"/>
                      <w:lang w:val="en-GB"/>
                    </w:rPr>
                    <w:t>*2</w:t>
                  </w:r>
                </w:p>
              </w:tc>
            </w:tr>
          </w:tbl>
          <w:p w14:paraId="6497C9E7" w14:textId="77777777" w:rsidR="0015695C" w:rsidRPr="0015695C" w:rsidRDefault="0015695C">
            <w:pPr>
              <w:rPr>
                <w:lang w:val="en-GB"/>
              </w:rPr>
            </w:pPr>
          </w:p>
          <w:p w14:paraId="2E297DBC" w14:textId="77777777" w:rsidR="0015695C" w:rsidRPr="00F4664F" w:rsidRDefault="0015695C">
            <w:pPr>
              <w:rPr>
                <w:lang w:val="en-GB"/>
              </w:rPr>
            </w:pPr>
            <w:r w:rsidRPr="00F4664F">
              <w:rPr>
                <w:lang w:val="en-GB"/>
              </w:rPr>
              <w:t>*1 The most recent value at the time of validation is applied.</w:t>
            </w:r>
          </w:p>
          <w:p w14:paraId="5CA465A5" w14:textId="08C94E79" w:rsidR="0015695C" w:rsidRPr="0016310E" w:rsidRDefault="0015695C">
            <w:pPr>
              <w:jc w:val="left"/>
              <w:rPr>
                <w:szCs w:val="22"/>
              </w:rPr>
            </w:pPr>
            <w:r w:rsidRPr="00F4664F">
              <w:rPr>
                <w:lang w:val="en-GB"/>
              </w:rPr>
              <w:t xml:space="preserve">*2 The value is calculated with the equation in the option a) above. The lower value of </w:t>
            </w:r>
            <w:r w:rsidRPr="00F4664F">
              <w:rPr>
                <w:kern w:val="0"/>
                <w:szCs w:val="22"/>
              </w:rPr>
              <w:t xml:space="preserve">default effective </w:t>
            </w:r>
            <w:r>
              <w:rPr>
                <w:kern w:val="0"/>
                <w:szCs w:val="22"/>
              </w:rPr>
              <w:t>CO</w:t>
            </w:r>
            <w:r w:rsidRPr="008C1464">
              <w:rPr>
                <w:kern w:val="0"/>
                <w:szCs w:val="22"/>
                <w:vertAlign w:val="subscript"/>
              </w:rPr>
              <w:t>2</w:t>
            </w:r>
            <w:r w:rsidRPr="00F4664F">
              <w:rPr>
                <w:kern w:val="0"/>
                <w:sz w:val="14"/>
                <w:szCs w:val="14"/>
              </w:rPr>
              <w:t xml:space="preserve"> </w:t>
            </w:r>
            <w:r w:rsidRPr="00F4664F">
              <w:rPr>
                <w:kern w:val="0"/>
                <w:szCs w:val="22"/>
              </w:rPr>
              <w:t>emission factor for natural gas (0.0543t</w:t>
            </w:r>
            <w:r>
              <w:rPr>
                <w:kern w:val="0"/>
                <w:szCs w:val="22"/>
              </w:rPr>
              <w:t>CO</w:t>
            </w:r>
            <w:r w:rsidRPr="008C1464">
              <w:rPr>
                <w:kern w:val="0"/>
                <w:szCs w:val="22"/>
                <w:vertAlign w:val="subscript"/>
              </w:rPr>
              <w:t>2</w:t>
            </w:r>
            <w:r w:rsidRPr="00F4664F">
              <w:rPr>
                <w:kern w:val="0"/>
                <w:szCs w:val="22"/>
              </w:rPr>
              <w:t>/GJ), and the most efficient value of default efficiency for off-grid gas turbine systems (42</w:t>
            </w:r>
            <w:r>
              <w:rPr>
                <w:kern w:val="0"/>
                <w:szCs w:val="22"/>
              </w:rPr>
              <w:t>%</w:t>
            </w:r>
            <w:r w:rsidRPr="00F4664F">
              <w:rPr>
                <w:kern w:val="0"/>
                <w:szCs w:val="22"/>
              </w:rPr>
              <w:t>)</w:t>
            </w:r>
            <w:r w:rsidRPr="00F4664F">
              <w:rPr>
                <w:lang w:val="en-GB"/>
              </w:rPr>
              <w:t xml:space="preserve"> are applied.</w:t>
            </w:r>
          </w:p>
        </w:tc>
        <w:tc>
          <w:tcPr>
            <w:tcW w:w="2774" w:type="dxa"/>
            <w:shd w:val="clear" w:color="auto" w:fill="auto"/>
          </w:tcPr>
          <w:p w14:paraId="29DC53B1" w14:textId="77777777" w:rsidR="002F7302" w:rsidRDefault="002F7302" w:rsidP="002F7302">
            <w:pPr>
              <w:rPr>
                <w:szCs w:val="22"/>
              </w:rPr>
            </w:pPr>
            <w:r>
              <w:rPr>
                <w:szCs w:val="22"/>
              </w:rPr>
              <w:t>[Grid electricity]</w:t>
            </w:r>
          </w:p>
          <w:p w14:paraId="04838499" w14:textId="51C68697" w:rsidR="002F7302" w:rsidRDefault="002F7302" w:rsidP="002F7302">
            <w:pPr>
              <w:rPr>
                <w:szCs w:val="22"/>
              </w:rPr>
            </w:pPr>
            <w:r>
              <w:rPr>
                <w:szCs w:val="22"/>
              </w:rPr>
              <w:t>The data is sourced from “Emission Factors of Electricity Interconnection Systems”, National Committee on Clean Development Mechanism (Indonesian DNA for CDM), based on data obtained by Directorate General of Electricity, Ministry of Energy and Mineral Resources, Indonesia, unless otherwise instructed by the Joint Committee.</w:t>
            </w:r>
          </w:p>
          <w:p w14:paraId="48262339" w14:textId="77777777" w:rsidR="0015695C" w:rsidRDefault="0015695C" w:rsidP="002F7302">
            <w:pPr>
              <w:rPr>
                <w:szCs w:val="22"/>
              </w:rPr>
            </w:pPr>
          </w:p>
          <w:p w14:paraId="44828626" w14:textId="77777777" w:rsidR="002F7302" w:rsidRDefault="002F7302" w:rsidP="002F7302">
            <w:pPr>
              <w:rPr>
                <w:szCs w:val="22"/>
              </w:rPr>
            </w:pPr>
            <w:r>
              <w:rPr>
                <w:szCs w:val="22"/>
              </w:rPr>
              <w:t>[Captive electricity]</w:t>
            </w:r>
          </w:p>
          <w:p w14:paraId="17D03562" w14:textId="05B27D01" w:rsidR="0015695C" w:rsidRPr="0015695C" w:rsidRDefault="0015695C" w:rsidP="0015695C">
            <w:pPr>
              <w:rPr>
                <w:szCs w:val="22"/>
              </w:rPr>
            </w:pPr>
            <w:r w:rsidRPr="00F4664F">
              <w:t>For the option a)</w:t>
            </w:r>
          </w:p>
          <w:p w14:paraId="299CAA4C" w14:textId="77777777" w:rsidR="0015695C" w:rsidRPr="00F4664F" w:rsidRDefault="0015695C" w:rsidP="0015695C">
            <w:r w:rsidRPr="00F4664F">
              <w:t>Specification of the captive power generation system provided by the manufacturer (</w:t>
            </w:r>
            <w:proofErr w:type="spellStart"/>
            <w:r w:rsidRPr="00F4664F">
              <w:rPr>
                <w:i/>
              </w:rPr>
              <w:t>η</w:t>
            </w:r>
            <w:r w:rsidRPr="00F4664F">
              <w:rPr>
                <w:i/>
                <w:vertAlign w:val="subscript"/>
              </w:rPr>
              <w:t>elec</w:t>
            </w:r>
            <w:proofErr w:type="spellEnd"/>
            <w:r w:rsidRPr="00F4664F">
              <w:t xml:space="preserve"> [</w:t>
            </w:r>
            <w:r>
              <w:t>%</w:t>
            </w:r>
            <w:r w:rsidRPr="00F4664F">
              <w:t>]).</w:t>
            </w:r>
          </w:p>
          <w:p w14:paraId="7A3DFA33" w14:textId="77777777" w:rsidR="0015695C" w:rsidRPr="00F4664F" w:rsidRDefault="0015695C" w:rsidP="0015695C">
            <w:r>
              <w:t>CO</w:t>
            </w:r>
            <w:r w:rsidRPr="008C1464">
              <w:rPr>
                <w:vertAlign w:val="subscript"/>
              </w:rPr>
              <w:t>2</w:t>
            </w:r>
            <w:r w:rsidRPr="00F4664F">
              <w:t xml:space="preserve"> emission factor of the fossil fuel type used in the captive power generation system (</w:t>
            </w:r>
            <w:proofErr w:type="spellStart"/>
            <w:r w:rsidRPr="00F4664F">
              <w:rPr>
                <w:i/>
              </w:rPr>
              <w:t>EF</w:t>
            </w:r>
            <w:r w:rsidRPr="00F4664F">
              <w:rPr>
                <w:i/>
                <w:vertAlign w:val="subscript"/>
              </w:rPr>
              <w:t>fuel</w:t>
            </w:r>
            <w:proofErr w:type="spellEnd"/>
            <w:r w:rsidRPr="00F4664F">
              <w:t xml:space="preserve"> [t</w:t>
            </w:r>
            <w:r>
              <w:t>CO</w:t>
            </w:r>
            <w:r w:rsidRPr="008C1464">
              <w:rPr>
                <w:vertAlign w:val="subscript"/>
              </w:rPr>
              <w:t>2</w:t>
            </w:r>
            <w:r w:rsidRPr="00F4664F">
              <w:t>/</w:t>
            </w:r>
            <w:proofErr w:type="spellStart"/>
            <w:r w:rsidRPr="00F4664F">
              <w:t>GJ</w:t>
            </w:r>
            <w:proofErr w:type="spellEnd"/>
            <w:r w:rsidRPr="00F4664F">
              <w:t>])</w:t>
            </w:r>
          </w:p>
          <w:p w14:paraId="36B47981" w14:textId="77777777" w:rsidR="0015695C" w:rsidRPr="00F4664F" w:rsidRDefault="0015695C" w:rsidP="0015695C"/>
          <w:p w14:paraId="44A610D2" w14:textId="77777777" w:rsidR="0015695C" w:rsidRPr="00F4664F" w:rsidRDefault="0015695C" w:rsidP="0015695C">
            <w:r w:rsidRPr="00F4664F">
              <w:t>For the option b)</w:t>
            </w:r>
          </w:p>
          <w:p w14:paraId="31E022A7" w14:textId="77777777" w:rsidR="0015695C" w:rsidRPr="00F4664F" w:rsidRDefault="0015695C" w:rsidP="0015695C">
            <w:r w:rsidRPr="00F4664F">
              <w:t>Generated and supplied electricity by the captive power generation system (</w:t>
            </w:r>
            <w:proofErr w:type="spellStart"/>
            <w:proofErr w:type="gramStart"/>
            <w:r w:rsidRPr="00F4664F">
              <w:rPr>
                <w:i/>
              </w:rPr>
              <w:t>EG</w:t>
            </w:r>
            <w:r w:rsidRPr="00F4664F">
              <w:rPr>
                <w:i/>
                <w:vertAlign w:val="subscript"/>
              </w:rPr>
              <w:t>PJ,p</w:t>
            </w:r>
            <w:proofErr w:type="spellEnd"/>
            <w:proofErr w:type="gramEnd"/>
            <w:r w:rsidRPr="00F4664F">
              <w:t xml:space="preserve"> [MWh/p]).</w:t>
            </w:r>
          </w:p>
          <w:p w14:paraId="7E9E3CC0" w14:textId="77777777" w:rsidR="0015695C" w:rsidRPr="00F4664F" w:rsidRDefault="0015695C" w:rsidP="0015695C">
            <w:r w:rsidRPr="00F4664F">
              <w:t>Fuel amount consumed by the captive power generation system (</w:t>
            </w:r>
            <w:proofErr w:type="spellStart"/>
            <w:proofErr w:type="gramStart"/>
            <w:r w:rsidRPr="00F4664F">
              <w:rPr>
                <w:i/>
              </w:rPr>
              <w:t>FC</w:t>
            </w:r>
            <w:r w:rsidRPr="00F4664F">
              <w:rPr>
                <w:i/>
                <w:vertAlign w:val="subscript"/>
              </w:rPr>
              <w:t>PJ,p</w:t>
            </w:r>
            <w:proofErr w:type="spellEnd"/>
            <w:proofErr w:type="gramEnd"/>
            <w:r w:rsidRPr="00F4664F">
              <w:t xml:space="preserve"> [mass or volume/p]).</w:t>
            </w:r>
          </w:p>
          <w:p w14:paraId="178D9B05" w14:textId="77777777" w:rsidR="0015695C" w:rsidRPr="00F4664F" w:rsidRDefault="0015695C" w:rsidP="0015695C">
            <w:r w:rsidRPr="00F4664F">
              <w:t>Net calorific value (</w:t>
            </w:r>
            <w:proofErr w:type="spellStart"/>
            <w:r w:rsidRPr="00F4664F">
              <w:rPr>
                <w:i/>
              </w:rPr>
              <w:t>NCV</w:t>
            </w:r>
            <w:r w:rsidRPr="00F4664F">
              <w:rPr>
                <w:i/>
                <w:vertAlign w:val="subscript"/>
              </w:rPr>
              <w:t>fuel</w:t>
            </w:r>
            <w:proofErr w:type="spellEnd"/>
            <w:r w:rsidRPr="00F4664F">
              <w:t xml:space="preserve"> [</w:t>
            </w:r>
            <w:proofErr w:type="spellStart"/>
            <w:r w:rsidRPr="00F4664F">
              <w:t>GJ</w:t>
            </w:r>
            <w:proofErr w:type="spellEnd"/>
            <w:r w:rsidRPr="00F4664F">
              <w:t xml:space="preserve">/mass or volume]) and </w:t>
            </w:r>
            <w:r>
              <w:t>CO</w:t>
            </w:r>
            <w:r w:rsidRPr="008C1464">
              <w:rPr>
                <w:vertAlign w:val="subscript"/>
              </w:rPr>
              <w:t>2</w:t>
            </w:r>
            <w:r w:rsidRPr="00F4664F">
              <w:t xml:space="preserve"> emission factor of the fuel (</w:t>
            </w:r>
            <w:proofErr w:type="spellStart"/>
            <w:r w:rsidRPr="00F4664F">
              <w:rPr>
                <w:i/>
              </w:rPr>
              <w:t>EF</w:t>
            </w:r>
            <w:r w:rsidRPr="00F4664F">
              <w:rPr>
                <w:i/>
                <w:vertAlign w:val="subscript"/>
              </w:rPr>
              <w:t>fuel</w:t>
            </w:r>
            <w:proofErr w:type="spellEnd"/>
            <w:r w:rsidRPr="00F4664F">
              <w:t xml:space="preserve"> [t</w:t>
            </w:r>
            <w:r>
              <w:t>CO</w:t>
            </w:r>
            <w:r w:rsidRPr="008C1464">
              <w:rPr>
                <w:vertAlign w:val="subscript"/>
              </w:rPr>
              <w:t>2</w:t>
            </w:r>
            <w:r w:rsidRPr="00F4664F">
              <w:t>/</w:t>
            </w:r>
            <w:proofErr w:type="spellStart"/>
            <w:r w:rsidRPr="00F4664F">
              <w:t>GJ</w:t>
            </w:r>
            <w:proofErr w:type="spellEnd"/>
            <w:r w:rsidRPr="00F4664F">
              <w:t xml:space="preserve">]) in order of preference: </w:t>
            </w:r>
          </w:p>
          <w:p w14:paraId="2E80DFAA" w14:textId="77777777" w:rsidR="0015695C" w:rsidRPr="00F4664F" w:rsidRDefault="0015695C" w:rsidP="0015695C">
            <w:r w:rsidRPr="00F4664F">
              <w:t xml:space="preserve">1) values provided by the fuel </w:t>
            </w:r>
            <w:proofErr w:type="gramStart"/>
            <w:r w:rsidRPr="00F4664F">
              <w:t>supplier;</w:t>
            </w:r>
            <w:proofErr w:type="gramEnd"/>
          </w:p>
          <w:p w14:paraId="21115639" w14:textId="77777777" w:rsidR="0015695C" w:rsidRPr="00F4664F" w:rsidRDefault="0015695C" w:rsidP="0015695C">
            <w:r w:rsidRPr="00F4664F">
              <w:t xml:space="preserve">2) measurement by the project </w:t>
            </w:r>
            <w:proofErr w:type="gramStart"/>
            <w:r w:rsidRPr="00F4664F">
              <w:t>participants;</w:t>
            </w:r>
            <w:proofErr w:type="gramEnd"/>
          </w:p>
          <w:p w14:paraId="31259DE7" w14:textId="77777777" w:rsidR="0015695C" w:rsidRPr="00F4664F" w:rsidRDefault="0015695C" w:rsidP="0015695C">
            <w:r w:rsidRPr="00F4664F">
              <w:t xml:space="preserve">3) regional or national default </w:t>
            </w:r>
            <w:proofErr w:type="gramStart"/>
            <w:r w:rsidRPr="00F4664F">
              <w:t>values;</w:t>
            </w:r>
            <w:proofErr w:type="gramEnd"/>
          </w:p>
          <w:p w14:paraId="0B276E8E" w14:textId="77777777" w:rsidR="0015695C" w:rsidRPr="00F4664F" w:rsidRDefault="0015695C" w:rsidP="0015695C">
            <w:r w:rsidRPr="00F4664F">
              <w:t>4) IPCC default values provided in tables 1.2 and 1.4 of Ch.1 Vol.2 of 2006 IPCC Guidelines on National GHG Inventories. Lower value is applied.</w:t>
            </w:r>
          </w:p>
          <w:p w14:paraId="02C8E394" w14:textId="77777777" w:rsidR="0015695C" w:rsidRPr="00F4664F" w:rsidRDefault="0015695C" w:rsidP="0015695C"/>
          <w:p w14:paraId="6FCF5BC3" w14:textId="77777777" w:rsidR="0015695C" w:rsidRPr="00F4664F" w:rsidRDefault="0015695C" w:rsidP="0015695C">
            <w:pPr>
              <w:adjustRightInd w:val="0"/>
              <w:snapToGrid w:val="0"/>
              <w:spacing w:line="280" w:lineRule="exact"/>
            </w:pPr>
          </w:p>
          <w:p w14:paraId="01002E20" w14:textId="77777777" w:rsidR="0015695C" w:rsidRPr="00F4664F" w:rsidRDefault="0015695C" w:rsidP="0015695C">
            <w:pPr>
              <w:autoSpaceDE w:val="0"/>
              <w:autoSpaceDN w:val="0"/>
              <w:adjustRightInd w:val="0"/>
              <w:rPr>
                <w:kern w:val="0"/>
                <w:szCs w:val="22"/>
              </w:rPr>
            </w:pPr>
            <w:r w:rsidRPr="00F4664F">
              <w:rPr>
                <w:kern w:val="0"/>
                <w:szCs w:val="22"/>
              </w:rPr>
              <w:t>[Captive electricity with diesel fuel]</w:t>
            </w:r>
          </w:p>
          <w:p w14:paraId="7EF6236A" w14:textId="77777777" w:rsidR="0015695C" w:rsidRPr="00F4664F" w:rsidRDefault="0015695C" w:rsidP="0015695C">
            <w:pPr>
              <w:autoSpaceDE w:val="0"/>
              <w:autoSpaceDN w:val="0"/>
              <w:adjustRightInd w:val="0"/>
              <w:rPr>
                <w:kern w:val="0"/>
                <w:szCs w:val="22"/>
              </w:rPr>
            </w:pPr>
            <w:r w:rsidRPr="00F4664F">
              <w:rPr>
                <w:kern w:val="0"/>
                <w:szCs w:val="22"/>
              </w:rPr>
              <w:t>CDM approved small scale methodology: AMS-I.A.</w:t>
            </w:r>
          </w:p>
          <w:p w14:paraId="43B996A4" w14:textId="77777777" w:rsidR="0015695C" w:rsidRPr="00F4664F" w:rsidRDefault="0015695C" w:rsidP="0015695C">
            <w:pPr>
              <w:autoSpaceDE w:val="0"/>
              <w:autoSpaceDN w:val="0"/>
              <w:adjustRightInd w:val="0"/>
              <w:rPr>
                <w:kern w:val="0"/>
                <w:szCs w:val="22"/>
              </w:rPr>
            </w:pPr>
          </w:p>
          <w:p w14:paraId="41D4DDA1" w14:textId="77777777" w:rsidR="0015695C" w:rsidRPr="00F4664F" w:rsidRDefault="0015695C" w:rsidP="0015695C">
            <w:pPr>
              <w:autoSpaceDE w:val="0"/>
              <w:autoSpaceDN w:val="0"/>
              <w:adjustRightInd w:val="0"/>
              <w:rPr>
                <w:kern w:val="0"/>
                <w:szCs w:val="22"/>
              </w:rPr>
            </w:pPr>
            <w:r w:rsidRPr="00F4664F">
              <w:rPr>
                <w:kern w:val="0"/>
                <w:szCs w:val="22"/>
              </w:rPr>
              <w:t>[Captive electricity with natural gas]</w:t>
            </w:r>
          </w:p>
          <w:p w14:paraId="1E475157" w14:textId="77777777" w:rsidR="0015695C" w:rsidRPr="00F4664F" w:rsidRDefault="0015695C" w:rsidP="0015695C">
            <w:pPr>
              <w:autoSpaceDE w:val="0"/>
              <w:autoSpaceDN w:val="0"/>
              <w:adjustRightInd w:val="0"/>
              <w:rPr>
                <w:kern w:val="0"/>
                <w:szCs w:val="22"/>
              </w:rPr>
            </w:pPr>
            <w:r w:rsidRPr="00F4664F">
              <w:rPr>
                <w:kern w:val="0"/>
                <w:szCs w:val="22"/>
              </w:rPr>
              <w:t>2006 IPCC Guidelines on National GHG Inventories</w:t>
            </w:r>
            <w:r w:rsidRPr="00F4664F">
              <w:rPr>
                <w:rFonts w:hint="eastAsia"/>
                <w:kern w:val="0"/>
                <w:szCs w:val="22"/>
              </w:rPr>
              <w:t xml:space="preserve"> for </w:t>
            </w:r>
            <w:r w:rsidRPr="00F4664F">
              <w:rPr>
                <w:kern w:val="0"/>
                <w:szCs w:val="22"/>
              </w:rPr>
              <w:t>the source of EF of natural gas.</w:t>
            </w:r>
          </w:p>
          <w:p w14:paraId="5E612BDB" w14:textId="31084701" w:rsidR="0015695C" w:rsidRPr="0016310E" w:rsidRDefault="0015695C" w:rsidP="0015695C">
            <w:pPr>
              <w:jc w:val="left"/>
              <w:rPr>
                <w:color w:val="FF0000"/>
                <w:szCs w:val="22"/>
              </w:rPr>
            </w:pPr>
            <w:r w:rsidRPr="00F4664F">
              <w:rPr>
                <w:kern w:val="0"/>
                <w:szCs w:val="22"/>
              </w:rPr>
              <w:t>CDM Methodological tool "Determining the baseline efficiency of thermal or electric energy generation systems version02.0" for the default efficiency for off-grid power plants.</w:t>
            </w:r>
          </w:p>
        </w:tc>
      </w:tr>
    </w:tbl>
    <w:p w14:paraId="3038848B" w14:textId="2E2435CF" w:rsidR="002F7302" w:rsidRDefault="002F7302" w:rsidP="0016310E">
      <w:pPr>
        <w:rPr>
          <w:szCs w:val="22"/>
        </w:r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AD851A2" w14:textId="77777777" w:rsidR="00874C9E" w:rsidRDefault="00874C9E" w:rsidP="00874C9E">
      <w:pPr>
        <w:rPr>
          <w:szCs w:val="22"/>
        </w:rPr>
      </w:pPr>
      <w:r w:rsidRPr="00067964">
        <w:rPr>
          <w:szCs w:val="22"/>
        </w:rPr>
        <w:t>History of the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130"/>
        <w:gridCol w:w="5108"/>
      </w:tblGrid>
      <w:tr w:rsidR="00874C9E" w:rsidRPr="00D36D5F" w14:paraId="0F93098C" w14:textId="77777777" w:rsidTr="00524BC0">
        <w:tc>
          <w:tcPr>
            <w:tcW w:w="739" w:type="pct"/>
            <w:shd w:val="clear" w:color="auto" w:fill="C6D9F1"/>
          </w:tcPr>
          <w:p w14:paraId="57C0AE0F" w14:textId="77777777" w:rsidR="00874C9E" w:rsidRPr="00D36D5F" w:rsidRDefault="00874C9E" w:rsidP="00524BC0">
            <w:pPr>
              <w:jc w:val="center"/>
              <w:rPr>
                <w:szCs w:val="22"/>
              </w:rPr>
            </w:pPr>
            <w:r w:rsidRPr="00D36D5F">
              <w:rPr>
                <w:szCs w:val="22"/>
              </w:rPr>
              <w:t>Version</w:t>
            </w:r>
          </w:p>
        </w:tc>
        <w:tc>
          <w:tcPr>
            <w:tcW w:w="1254" w:type="pct"/>
            <w:shd w:val="clear" w:color="auto" w:fill="C6D9F1"/>
          </w:tcPr>
          <w:p w14:paraId="15E2592F" w14:textId="77777777" w:rsidR="00874C9E" w:rsidRPr="00D36D5F" w:rsidRDefault="00874C9E" w:rsidP="00524BC0">
            <w:pPr>
              <w:jc w:val="center"/>
              <w:rPr>
                <w:szCs w:val="22"/>
              </w:rPr>
            </w:pPr>
            <w:r w:rsidRPr="00D36D5F">
              <w:rPr>
                <w:szCs w:val="22"/>
              </w:rPr>
              <w:t>Date</w:t>
            </w:r>
          </w:p>
        </w:tc>
        <w:tc>
          <w:tcPr>
            <w:tcW w:w="3006" w:type="pct"/>
            <w:shd w:val="clear" w:color="auto" w:fill="C6D9F1"/>
          </w:tcPr>
          <w:p w14:paraId="27840A7C" w14:textId="77777777" w:rsidR="00874C9E" w:rsidRPr="00D36D5F" w:rsidRDefault="00874C9E" w:rsidP="00524BC0">
            <w:pPr>
              <w:jc w:val="center"/>
              <w:rPr>
                <w:szCs w:val="22"/>
              </w:rPr>
            </w:pPr>
            <w:r w:rsidRPr="00D36D5F">
              <w:rPr>
                <w:szCs w:val="22"/>
              </w:rPr>
              <w:t>Contents revised</w:t>
            </w:r>
          </w:p>
        </w:tc>
      </w:tr>
      <w:tr w:rsidR="00874C9E" w:rsidRPr="00D36D5F" w14:paraId="2F136E12" w14:textId="77777777" w:rsidTr="00524BC0">
        <w:tc>
          <w:tcPr>
            <w:tcW w:w="739" w:type="pct"/>
            <w:shd w:val="clear" w:color="auto" w:fill="auto"/>
          </w:tcPr>
          <w:p w14:paraId="16E1F2D0" w14:textId="77777777" w:rsidR="00874C9E" w:rsidRPr="00D36D5F" w:rsidRDefault="00874C9E" w:rsidP="00524BC0">
            <w:pPr>
              <w:jc w:val="left"/>
              <w:rPr>
                <w:szCs w:val="22"/>
              </w:rPr>
            </w:pPr>
            <w:r>
              <w:rPr>
                <w:szCs w:val="22"/>
              </w:rPr>
              <w:t>0</w:t>
            </w:r>
            <w:r w:rsidRPr="00D36D5F">
              <w:rPr>
                <w:rFonts w:hint="eastAsia"/>
                <w:szCs w:val="22"/>
              </w:rPr>
              <w:t>1.0</w:t>
            </w:r>
          </w:p>
        </w:tc>
        <w:tc>
          <w:tcPr>
            <w:tcW w:w="1254" w:type="pct"/>
            <w:shd w:val="clear" w:color="auto" w:fill="auto"/>
          </w:tcPr>
          <w:p w14:paraId="752CDCD1" w14:textId="3237215C" w:rsidR="00874C9E" w:rsidRPr="00D36D5F" w:rsidRDefault="00874C9E" w:rsidP="00524BC0">
            <w:pPr>
              <w:jc w:val="left"/>
              <w:rPr>
                <w:color w:val="FF0000"/>
                <w:szCs w:val="22"/>
              </w:rPr>
            </w:pPr>
            <w:r>
              <w:rPr>
                <w:color w:val="000000" w:themeColor="text1"/>
                <w:szCs w:val="22"/>
              </w:rPr>
              <w:t xml:space="preserve">23 December </w:t>
            </w:r>
            <w:r w:rsidRPr="00430605">
              <w:rPr>
                <w:color w:val="000000" w:themeColor="text1"/>
                <w:szCs w:val="22"/>
              </w:rPr>
              <w:t>2020</w:t>
            </w:r>
          </w:p>
        </w:tc>
        <w:tc>
          <w:tcPr>
            <w:tcW w:w="3006" w:type="pct"/>
            <w:shd w:val="clear" w:color="auto" w:fill="auto"/>
          </w:tcPr>
          <w:p w14:paraId="55203429" w14:textId="77777777" w:rsidR="00874C9E" w:rsidRPr="00067964" w:rsidRDefault="00874C9E" w:rsidP="00524BC0">
            <w:pPr>
              <w:jc w:val="left"/>
              <w:rPr>
                <w:szCs w:val="22"/>
              </w:rPr>
            </w:pPr>
            <w:r w:rsidRPr="00067964">
              <w:rPr>
                <w:szCs w:val="22"/>
              </w:rPr>
              <w:t>Electronic decision by the Joint Committee</w:t>
            </w:r>
          </w:p>
          <w:p w14:paraId="4F7DFB02" w14:textId="77777777" w:rsidR="00874C9E" w:rsidRPr="00D36D5F" w:rsidRDefault="00874C9E" w:rsidP="00524BC0">
            <w:pPr>
              <w:jc w:val="left"/>
              <w:rPr>
                <w:szCs w:val="22"/>
              </w:rPr>
            </w:pPr>
            <w:r w:rsidRPr="00067964">
              <w:rPr>
                <w:szCs w:val="22"/>
              </w:rPr>
              <w:t>Initial approval.</w:t>
            </w:r>
          </w:p>
        </w:tc>
      </w:tr>
      <w:tr w:rsidR="00874C9E" w:rsidRPr="00D36D5F" w14:paraId="609D9ABD" w14:textId="77777777" w:rsidTr="00524BC0">
        <w:tc>
          <w:tcPr>
            <w:tcW w:w="739" w:type="pct"/>
            <w:shd w:val="clear" w:color="auto" w:fill="auto"/>
          </w:tcPr>
          <w:p w14:paraId="17726310" w14:textId="77777777" w:rsidR="00874C9E" w:rsidRPr="00D36D5F" w:rsidRDefault="00874C9E" w:rsidP="00524BC0">
            <w:pPr>
              <w:jc w:val="center"/>
              <w:rPr>
                <w:szCs w:val="22"/>
              </w:rPr>
            </w:pPr>
          </w:p>
        </w:tc>
        <w:tc>
          <w:tcPr>
            <w:tcW w:w="1254" w:type="pct"/>
            <w:shd w:val="clear" w:color="auto" w:fill="auto"/>
          </w:tcPr>
          <w:p w14:paraId="1A4F0AF9" w14:textId="77777777" w:rsidR="00874C9E" w:rsidRPr="00D36D5F" w:rsidRDefault="00874C9E" w:rsidP="00524BC0">
            <w:pPr>
              <w:jc w:val="center"/>
              <w:rPr>
                <w:szCs w:val="22"/>
              </w:rPr>
            </w:pPr>
          </w:p>
        </w:tc>
        <w:tc>
          <w:tcPr>
            <w:tcW w:w="3006" w:type="pct"/>
            <w:shd w:val="clear" w:color="auto" w:fill="auto"/>
          </w:tcPr>
          <w:p w14:paraId="6564A1BC" w14:textId="77777777" w:rsidR="00874C9E" w:rsidRPr="00D36D5F" w:rsidRDefault="00874C9E" w:rsidP="00524BC0">
            <w:pPr>
              <w:rPr>
                <w:szCs w:val="22"/>
              </w:rPr>
            </w:pPr>
          </w:p>
        </w:tc>
      </w:tr>
      <w:tr w:rsidR="00874C9E" w:rsidRPr="00D36D5F" w14:paraId="46787481" w14:textId="77777777" w:rsidTr="00524BC0">
        <w:tc>
          <w:tcPr>
            <w:tcW w:w="739" w:type="pct"/>
            <w:shd w:val="clear" w:color="auto" w:fill="auto"/>
          </w:tcPr>
          <w:p w14:paraId="19461EA7" w14:textId="77777777" w:rsidR="00874C9E" w:rsidRPr="00D36D5F" w:rsidRDefault="00874C9E" w:rsidP="00524BC0">
            <w:pPr>
              <w:jc w:val="center"/>
              <w:rPr>
                <w:szCs w:val="22"/>
              </w:rPr>
            </w:pPr>
          </w:p>
        </w:tc>
        <w:tc>
          <w:tcPr>
            <w:tcW w:w="1254" w:type="pct"/>
            <w:shd w:val="clear" w:color="auto" w:fill="auto"/>
          </w:tcPr>
          <w:p w14:paraId="3212A5EA" w14:textId="77777777" w:rsidR="00874C9E" w:rsidRPr="00D36D5F" w:rsidRDefault="00874C9E" w:rsidP="00524BC0">
            <w:pPr>
              <w:jc w:val="center"/>
              <w:rPr>
                <w:szCs w:val="22"/>
              </w:rPr>
            </w:pPr>
          </w:p>
        </w:tc>
        <w:tc>
          <w:tcPr>
            <w:tcW w:w="3006" w:type="pct"/>
            <w:shd w:val="clear" w:color="auto" w:fill="auto"/>
          </w:tcPr>
          <w:p w14:paraId="1073D329" w14:textId="77777777" w:rsidR="00874C9E" w:rsidRPr="00D36D5F" w:rsidRDefault="00874C9E" w:rsidP="00524BC0">
            <w:pPr>
              <w:rPr>
                <w:szCs w:val="22"/>
              </w:rPr>
            </w:pPr>
          </w:p>
        </w:tc>
      </w:tr>
    </w:tbl>
    <w:p w14:paraId="3E310D4E" w14:textId="77777777" w:rsidR="00874C9E" w:rsidRPr="0016310E" w:rsidRDefault="00874C9E" w:rsidP="0016310E">
      <w:pPr>
        <w:rPr>
          <w:szCs w:val="22"/>
        </w:rPr>
      </w:pPr>
    </w:p>
    <w:sectPr w:rsidR="00874C9E" w:rsidRPr="0016310E" w:rsidSect="00271F9D">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95272" w14:textId="77777777" w:rsidR="00DA3772" w:rsidRDefault="00DA3772" w:rsidP="00B64A2E">
      <w:r>
        <w:separator/>
      </w:r>
    </w:p>
  </w:endnote>
  <w:endnote w:type="continuationSeparator" w:id="0">
    <w:p w14:paraId="248A8F77" w14:textId="77777777" w:rsidR="00DA3772" w:rsidRDefault="00DA3772"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D8430" w14:textId="77777777" w:rsidR="00E8635A" w:rsidRDefault="00E863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D3687" w14:textId="77777777" w:rsidR="00E8635A" w:rsidRDefault="00E863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0A989" w14:textId="77777777" w:rsidR="00E8635A" w:rsidRDefault="00E863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1646D" w14:textId="77777777" w:rsidR="00DA3772" w:rsidRDefault="00DA3772" w:rsidP="00B64A2E">
      <w:r>
        <w:separator/>
      </w:r>
    </w:p>
  </w:footnote>
  <w:footnote w:type="continuationSeparator" w:id="0">
    <w:p w14:paraId="5D3A97F4" w14:textId="77777777" w:rsidR="00DA3772" w:rsidRDefault="00DA3772"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2B375" w14:textId="77777777" w:rsidR="00E8635A" w:rsidRDefault="00E863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83E77" w14:textId="0B44BFDE" w:rsidR="00874C9E" w:rsidRPr="00874C9E" w:rsidRDefault="00874C9E" w:rsidP="00874C9E">
    <w:pPr>
      <w:pStyle w:val="a3"/>
      <w:jc w:val="right"/>
      <w:rPr>
        <w:rFonts w:cs="ＭＳ 明朝"/>
        <w:sz w:val="22"/>
        <w:szCs w:val="22"/>
      </w:rPr>
    </w:pPr>
    <w:r w:rsidRPr="00DB10D0">
      <w:rPr>
        <w:rFonts w:cs="ＭＳ 明朝"/>
        <w:sz w:val="22"/>
        <w:szCs w:val="22"/>
      </w:rPr>
      <w:t>JCM_ID_</w:t>
    </w:r>
    <w:r>
      <w:rPr>
        <w:rFonts w:cs="ＭＳ 明朝"/>
        <w:sz w:val="22"/>
        <w:szCs w:val="22"/>
      </w:rPr>
      <w:t>A</w:t>
    </w:r>
    <w:r w:rsidRPr="00DB10D0">
      <w:rPr>
        <w:rFonts w:cs="ＭＳ 明朝"/>
        <w:sz w:val="22"/>
        <w:szCs w:val="22"/>
      </w:rPr>
      <w:t>M</w:t>
    </w:r>
    <w:r>
      <w:rPr>
        <w:rFonts w:cs="ＭＳ 明朝"/>
        <w:sz w:val="22"/>
        <w:szCs w:val="22"/>
      </w:rPr>
      <w:t>025</w:t>
    </w:r>
    <w:r w:rsidRPr="00DB10D0">
      <w:rPr>
        <w:rFonts w:cs="ＭＳ 明朝"/>
        <w:sz w:val="22"/>
        <w:szCs w:val="22"/>
      </w:rPr>
      <w:t>_</w:t>
    </w:r>
    <w:r>
      <w:rPr>
        <w:rFonts w:cs="ＭＳ 明朝" w:hint="eastAsia"/>
        <w:sz w:val="22"/>
        <w:szCs w:val="22"/>
      </w:rPr>
      <w:t>ver01.0</w:t>
    </w:r>
  </w:p>
  <w:p w14:paraId="69E6669D" w14:textId="564BCC80" w:rsidR="00874C9E" w:rsidRDefault="00874C9E" w:rsidP="00E8635A">
    <w:pPr>
      <w:pStyle w:val="a3"/>
      <w:wordWrap w:val="0"/>
      <w:jc w:val="right"/>
      <w:rPr>
        <w:rFonts w:cs="ＭＳ 明朝"/>
        <w:sz w:val="22"/>
        <w:szCs w:val="22"/>
      </w:rPr>
    </w:pPr>
    <w:r>
      <w:rPr>
        <w:rFonts w:cs="ＭＳ 明朝" w:hint="eastAsia"/>
        <w:sz w:val="22"/>
        <w:szCs w:val="22"/>
      </w:rPr>
      <w:t>S</w:t>
    </w:r>
    <w:r>
      <w:rPr>
        <w:rFonts w:cs="ＭＳ 明朝"/>
        <w:sz w:val="22"/>
        <w:szCs w:val="22"/>
      </w:rPr>
      <w:t>ectoral scope: 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642E6" w14:textId="77777777" w:rsidR="00E8635A" w:rsidRDefault="00E863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1A636C4B"/>
    <w:multiLevelType w:val="hybridMultilevel"/>
    <w:tmpl w:val="41E43748"/>
    <w:lvl w:ilvl="0" w:tplc="3F0E50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674051"/>
    <w:multiLevelType w:val="hybridMultilevel"/>
    <w:tmpl w:val="68D4F370"/>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8303BE"/>
    <w:multiLevelType w:val="hybridMultilevel"/>
    <w:tmpl w:val="F32438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5" w15:restartNumberingAfterBreak="0">
    <w:nsid w:val="68640CE2"/>
    <w:multiLevelType w:val="hybridMultilevel"/>
    <w:tmpl w:val="EC0886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465"/>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8E5"/>
    <w:rsid w:val="00056B98"/>
    <w:rsid w:val="0006055A"/>
    <w:rsid w:val="00060EC2"/>
    <w:rsid w:val="00061370"/>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512"/>
    <w:rsid w:val="000767C2"/>
    <w:rsid w:val="0007694E"/>
    <w:rsid w:val="00076AF0"/>
    <w:rsid w:val="00080381"/>
    <w:rsid w:val="000804DD"/>
    <w:rsid w:val="00080F9C"/>
    <w:rsid w:val="00081513"/>
    <w:rsid w:val="00082204"/>
    <w:rsid w:val="00082D68"/>
    <w:rsid w:val="00083C22"/>
    <w:rsid w:val="000840A7"/>
    <w:rsid w:val="00084F8B"/>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03C"/>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6269"/>
    <w:rsid w:val="000C6A4F"/>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3661"/>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6AC9"/>
    <w:rsid w:val="00137A26"/>
    <w:rsid w:val="00140124"/>
    <w:rsid w:val="0014017D"/>
    <w:rsid w:val="00140738"/>
    <w:rsid w:val="00142891"/>
    <w:rsid w:val="00142ED4"/>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695C"/>
    <w:rsid w:val="00156DB9"/>
    <w:rsid w:val="001571C4"/>
    <w:rsid w:val="00157496"/>
    <w:rsid w:val="0015778C"/>
    <w:rsid w:val="00160D83"/>
    <w:rsid w:val="0016100D"/>
    <w:rsid w:val="0016310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655F"/>
    <w:rsid w:val="001A7131"/>
    <w:rsid w:val="001A745B"/>
    <w:rsid w:val="001A7629"/>
    <w:rsid w:val="001A769E"/>
    <w:rsid w:val="001A76E2"/>
    <w:rsid w:val="001A7C56"/>
    <w:rsid w:val="001A7D74"/>
    <w:rsid w:val="001A7EEF"/>
    <w:rsid w:val="001B281F"/>
    <w:rsid w:val="001B3674"/>
    <w:rsid w:val="001B39C3"/>
    <w:rsid w:val="001B3F12"/>
    <w:rsid w:val="001B49FF"/>
    <w:rsid w:val="001B536D"/>
    <w:rsid w:val="001B6436"/>
    <w:rsid w:val="001B6C87"/>
    <w:rsid w:val="001B6DDC"/>
    <w:rsid w:val="001B74AE"/>
    <w:rsid w:val="001B7815"/>
    <w:rsid w:val="001B7CEE"/>
    <w:rsid w:val="001C023B"/>
    <w:rsid w:val="001C17A7"/>
    <w:rsid w:val="001C321C"/>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D79A5"/>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468"/>
    <w:rsid w:val="001F1771"/>
    <w:rsid w:val="001F2110"/>
    <w:rsid w:val="001F23A8"/>
    <w:rsid w:val="001F262D"/>
    <w:rsid w:val="001F31A6"/>
    <w:rsid w:val="001F32A8"/>
    <w:rsid w:val="001F44A6"/>
    <w:rsid w:val="001F57F9"/>
    <w:rsid w:val="001F58EC"/>
    <w:rsid w:val="001F63AB"/>
    <w:rsid w:val="001F64F0"/>
    <w:rsid w:val="001F7295"/>
    <w:rsid w:val="001F79A5"/>
    <w:rsid w:val="002000F1"/>
    <w:rsid w:val="00200552"/>
    <w:rsid w:val="00200E25"/>
    <w:rsid w:val="00202D4A"/>
    <w:rsid w:val="00203396"/>
    <w:rsid w:val="00203B61"/>
    <w:rsid w:val="00204363"/>
    <w:rsid w:val="0020528B"/>
    <w:rsid w:val="002102AE"/>
    <w:rsid w:val="002112EA"/>
    <w:rsid w:val="00211497"/>
    <w:rsid w:val="002116D6"/>
    <w:rsid w:val="0021194F"/>
    <w:rsid w:val="002138CE"/>
    <w:rsid w:val="002139C5"/>
    <w:rsid w:val="00213B17"/>
    <w:rsid w:val="00214AE0"/>
    <w:rsid w:val="002157FD"/>
    <w:rsid w:val="00215965"/>
    <w:rsid w:val="00215D29"/>
    <w:rsid w:val="00216146"/>
    <w:rsid w:val="00216AC7"/>
    <w:rsid w:val="002172A5"/>
    <w:rsid w:val="00217970"/>
    <w:rsid w:val="00217CC1"/>
    <w:rsid w:val="00220182"/>
    <w:rsid w:val="00220926"/>
    <w:rsid w:val="00220CEB"/>
    <w:rsid w:val="00221074"/>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09F7"/>
    <w:rsid w:val="00241142"/>
    <w:rsid w:val="00243E38"/>
    <w:rsid w:val="0024461B"/>
    <w:rsid w:val="00244B9D"/>
    <w:rsid w:val="00245F59"/>
    <w:rsid w:val="002467E3"/>
    <w:rsid w:val="00246AD8"/>
    <w:rsid w:val="00247AF5"/>
    <w:rsid w:val="00247BA6"/>
    <w:rsid w:val="00250944"/>
    <w:rsid w:val="002510D7"/>
    <w:rsid w:val="00251656"/>
    <w:rsid w:val="0025202A"/>
    <w:rsid w:val="0025204A"/>
    <w:rsid w:val="00252404"/>
    <w:rsid w:val="00254399"/>
    <w:rsid w:val="002559E2"/>
    <w:rsid w:val="00255AD7"/>
    <w:rsid w:val="00257446"/>
    <w:rsid w:val="00257C5C"/>
    <w:rsid w:val="0026094E"/>
    <w:rsid w:val="002613F7"/>
    <w:rsid w:val="002618AD"/>
    <w:rsid w:val="0026424D"/>
    <w:rsid w:val="0026433C"/>
    <w:rsid w:val="002645F9"/>
    <w:rsid w:val="002649C3"/>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0BDB"/>
    <w:rsid w:val="00292A26"/>
    <w:rsid w:val="00293408"/>
    <w:rsid w:val="00293B24"/>
    <w:rsid w:val="00293ED3"/>
    <w:rsid w:val="002955B6"/>
    <w:rsid w:val="002A0C14"/>
    <w:rsid w:val="002A100B"/>
    <w:rsid w:val="002A1475"/>
    <w:rsid w:val="002A1C3D"/>
    <w:rsid w:val="002A22CB"/>
    <w:rsid w:val="002A2589"/>
    <w:rsid w:val="002A360A"/>
    <w:rsid w:val="002A37F0"/>
    <w:rsid w:val="002A3889"/>
    <w:rsid w:val="002A47C1"/>
    <w:rsid w:val="002A47EF"/>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17D4"/>
    <w:rsid w:val="002C254E"/>
    <w:rsid w:val="002C28E7"/>
    <w:rsid w:val="002C4E83"/>
    <w:rsid w:val="002C4FDA"/>
    <w:rsid w:val="002C530E"/>
    <w:rsid w:val="002C6B93"/>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12D"/>
    <w:rsid w:val="002E7205"/>
    <w:rsid w:val="002E77BE"/>
    <w:rsid w:val="002E7D99"/>
    <w:rsid w:val="002F0F37"/>
    <w:rsid w:val="002F1967"/>
    <w:rsid w:val="002F4803"/>
    <w:rsid w:val="002F5226"/>
    <w:rsid w:val="002F53B9"/>
    <w:rsid w:val="002F5E3A"/>
    <w:rsid w:val="002F6481"/>
    <w:rsid w:val="002F70CC"/>
    <w:rsid w:val="002F7302"/>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D88"/>
    <w:rsid w:val="00316E4D"/>
    <w:rsid w:val="00317382"/>
    <w:rsid w:val="00320719"/>
    <w:rsid w:val="00320B77"/>
    <w:rsid w:val="00320D47"/>
    <w:rsid w:val="00322F49"/>
    <w:rsid w:val="0032392A"/>
    <w:rsid w:val="00323C02"/>
    <w:rsid w:val="0032474E"/>
    <w:rsid w:val="00324900"/>
    <w:rsid w:val="003258BA"/>
    <w:rsid w:val="003261DB"/>
    <w:rsid w:val="003265E4"/>
    <w:rsid w:val="00327767"/>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761"/>
    <w:rsid w:val="00354F9F"/>
    <w:rsid w:val="003551D5"/>
    <w:rsid w:val="00356450"/>
    <w:rsid w:val="003567BF"/>
    <w:rsid w:val="0035700F"/>
    <w:rsid w:val="00357329"/>
    <w:rsid w:val="00357F7F"/>
    <w:rsid w:val="003605D7"/>
    <w:rsid w:val="003625E6"/>
    <w:rsid w:val="0036314A"/>
    <w:rsid w:val="003640AB"/>
    <w:rsid w:val="00365A44"/>
    <w:rsid w:val="0036619D"/>
    <w:rsid w:val="00366876"/>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793"/>
    <w:rsid w:val="00392B1B"/>
    <w:rsid w:val="00395970"/>
    <w:rsid w:val="00396153"/>
    <w:rsid w:val="00396626"/>
    <w:rsid w:val="00397C49"/>
    <w:rsid w:val="00397CD6"/>
    <w:rsid w:val="003A1153"/>
    <w:rsid w:val="003A16BD"/>
    <w:rsid w:val="003A2182"/>
    <w:rsid w:val="003A5160"/>
    <w:rsid w:val="003A56B9"/>
    <w:rsid w:val="003A5783"/>
    <w:rsid w:val="003A5E84"/>
    <w:rsid w:val="003A6D48"/>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2864"/>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CD2"/>
    <w:rsid w:val="00403F48"/>
    <w:rsid w:val="00403F95"/>
    <w:rsid w:val="00404CBE"/>
    <w:rsid w:val="004057A7"/>
    <w:rsid w:val="00406BD4"/>
    <w:rsid w:val="00406DE8"/>
    <w:rsid w:val="004070F5"/>
    <w:rsid w:val="004078E1"/>
    <w:rsid w:val="00407B6D"/>
    <w:rsid w:val="0041062F"/>
    <w:rsid w:val="00411458"/>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73F"/>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918"/>
    <w:rsid w:val="00445D24"/>
    <w:rsid w:val="00447297"/>
    <w:rsid w:val="00450852"/>
    <w:rsid w:val="00451601"/>
    <w:rsid w:val="00451655"/>
    <w:rsid w:val="00451E01"/>
    <w:rsid w:val="004536F4"/>
    <w:rsid w:val="00453C66"/>
    <w:rsid w:val="00454799"/>
    <w:rsid w:val="00454E2C"/>
    <w:rsid w:val="004557DD"/>
    <w:rsid w:val="00456A0A"/>
    <w:rsid w:val="00456E1F"/>
    <w:rsid w:val="00457296"/>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D2F"/>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3336"/>
    <w:rsid w:val="004939A9"/>
    <w:rsid w:val="0049474C"/>
    <w:rsid w:val="00494C10"/>
    <w:rsid w:val="00495889"/>
    <w:rsid w:val="00495FF7"/>
    <w:rsid w:val="004A0660"/>
    <w:rsid w:val="004A0C7D"/>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535"/>
    <w:rsid w:val="004C5800"/>
    <w:rsid w:val="004C661D"/>
    <w:rsid w:val="004C665D"/>
    <w:rsid w:val="004C77A1"/>
    <w:rsid w:val="004C7BD3"/>
    <w:rsid w:val="004C7DFD"/>
    <w:rsid w:val="004D011B"/>
    <w:rsid w:val="004D0286"/>
    <w:rsid w:val="004D13F1"/>
    <w:rsid w:val="004D2400"/>
    <w:rsid w:val="004D3711"/>
    <w:rsid w:val="004D3963"/>
    <w:rsid w:val="004D3B20"/>
    <w:rsid w:val="004D3DDE"/>
    <w:rsid w:val="004D50FA"/>
    <w:rsid w:val="004D69FC"/>
    <w:rsid w:val="004D6B4B"/>
    <w:rsid w:val="004D760B"/>
    <w:rsid w:val="004E139E"/>
    <w:rsid w:val="004E16E0"/>
    <w:rsid w:val="004E1B21"/>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4ED2"/>
    <w:rsid w:val="004F58B6"/>
    <w:rsid w:val="004F5F28"/>
    <w:rsid w:val="004F725C"/>
    <w:rsid w:val="004F7652"/>
    <w:rsid w:val="004F7766"/>
    <w:rsid w:val="004F7C14"/>
    <w:rsid w:val="005005B8"/>
    <w:rsid w:val="00500A65"/>
    <w:rsid w:val="00501A11"/>
    <w:rsid w:val="00502E82"/>
    <w:rsid w:val="005033C4"/>
    <w:rsid w:val="00503B4B"/>
    <w:rsid w:val="005041A2"/>
    <w:rsid w:val="00504274"/>
    <w:rsid w:val="00505647"/>
    <w:rsid w:val="005066E1"/>
    <w:rsid w:val="00506F96"/>
    <w:rsid w:val="00507B2B"/>
    <w:rsid w:val="00512630"/>
    <w:rsid w:val="005127A8"/>
    <w:rsid w:val="00514256"/>
    <w:rsid w:val="0051444D"/>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862"/>
    <w:rsid w:val="00535994"/>
    <w:rsid w:val="005376A4"/>
    <w:rsid w:val="005410DB"/>
    <w:rsid w:val="00541E19"/>
    <w:rsid w:val="00542887"/>
    <w:rsid w:val="00542980"/>
    <w:rsid w:val="005429B9"/>
    <w:rsid w:val="0054377A"/>
    <w:rsid w:val="005447CE"/>
    <w:rsid w:val="0054482A"/>
    <w:rsid w:val="00544ECC"/>
    <w:rsid w:val="0054501C"/>
    <w:rsid w:val="005450BE"/>
    <w:rsid w:val="00545CA3"/>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AFD"/>
    <w:rsid w:val="00556DC2"/>
    <w:rsid w:val="005573EA"/>
    <w:rsid w:val="00557F72"/>
    <w:rsid w:val="00560423"/>
    <w:rsid w:val="005607F2"/>
    <w:rsid w:val="00562418"/>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ECC"/>
    <w:rsid w:val="005B7FD2"/>
    <w:rsid w:val="005C00F9"/>
    <w:rsid w:val="005C1700"/>
    <w:rsid w:val="005C1A2B"/>
    <w:rsid w:val="005C35FE"/>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3A87"/>
    <w:rsid w:val="005E4145"/>
    <w:rsid w:val="005E49A9"/>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42B"/>
    <w:rsid w:val="00636779"/>
    <w:rsid w:val="00636801"/>
    <w:rsid w:val="00636F0A"/>
    <w:rsid w:val="006374ED"/>
    <w:rsid w:val="0064003C"/>
    <w:rsid w:val="00640C8E"/>
    <w:rsid w:val="00641376"/>
    <w:rsid w:val="006415E5"/>
    <w:rsid w:val="00642F5B"/>
    <w:rsid w:val="0064396C"/>
    <w:rsid w:val="00644612"/>
    <w:rsid w:val="00644A07"/>
    <w:rsid w:val="00645B47"/>
    <w:rsid w:val="00646A12"/>
    <w:rsid w:val="00646ECA"/>
    <w:rsid w:val="0064745D"/>
    <w:rsid w:val="006476E8"/>
    <w:rsid w:val="006510FB"/>
    <w:rsid w:val="006521D7"/>
    <w:rsid w:val="00654062"/>
    <w:rsid w:val="00655857"/>
    <w:rsid w:val="00656A4B"/>
    <w:rsid w:val="00657840"/>
    <w:rsid w:val="006579F3"/>
    <w:rsid w:val="00657DE2"/>
    <w:rsid w:val="006606E7"/>
    <w:rsid w:val="00661636"/>
    <w:rsid w:val="00662AEC"/>
    <w:rsid w:val="006636DD"/>
    <w:rsid w:val="00664775"/>
    <w:rsid w:val="00665011"/>
    <w:rsid w:val="00665F0C"/>
    <w:rsid w:val="00665F38"/>
    <w:rsid w:val="00666795"/>
    <w:rsid w:val="00666AF2"/>
    <w:rsid w:val="00670D24"/>
    <w:rsid w:val="00671139"/>
    <w:rsid w:val="0067132F"/>
    <w:rsid w:val="0067276B"/>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5BD9"/>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26"/>
    <w:rsid w:val="00696E7E"/>
    <w:rsid w:val="00697746"/>
    <w:rsid w:val="00697872"/>
    <w:rsid w:val="006A0401"/>
    <w:rsid w:val="006A0C8F"/>
    <w:rsid w:val="006A10D7"/>
    <w:rsid w:val="006A17D4"/>
    <w:rsid w:val="006A1DB9"/>
    <w:rsid w:val="006A2B5F"/>
    <w:rsid w:val="006A2C1A"/>
    <w:rsid w:val="006A2FAA"/>
    <w:rsid w:val="006A3B6E"/>
    <w:rsid w:val="006A4E27"/>
    <w:rsid w:val="006A6225"/>
    <w:rsid w:val="006A67E5"/>
    <w:rsid w:val="006A6D24"/>
    <w:rsid w:val="006A7554"/>
    <w:rsid w:val="006A79C6"/>
    <w:rsid w:val="006B093E"/>
    <w:rsid w:val="006B1409"/>
    <w:rsid w:val="006B2854"/>
    <w:rsid w:val="006B4ECA"/>
    <w:rsid w:val="006B50D7"/>
    <w:rsid w:val="006B5895"/>
    <w:rsid w:val="006B6412"/>
    <w:rsid w:val="006B7AA5"/>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26E"/>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B1B"/>
    <w:rsid w:val="00711D40"/>
    <w:rsid w:val="007127E0"/>
    <w:rsid w:val="00713842"/>
    <w:rsid w:val="007146BE"/>
    <w:rsid w:val="007149E3"/>
    <w:rsid w:val="007149FD"/>
    <w:rsid w:val="0071651C"/>
    <w:rsid w:val="0071742A"/>
    <w:rsid w:val="007175C5"/>
    <w:rsid w:val="0072150B"/>
    <w:rsid w:val="00727951"/>
    <w:rsid w:val="00730107"/>
    <w:rsid w:val="00730A38"/>
    <w:rsid w:val="007318AC"/>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9E0"/>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0AC"/>
    <w:rsid w:val="00775C34"/>
    <w:rsid w:val="00775DFE"/>
    <w:rsid w:val="00775FBA"/>
    <w:rsid w:val="007769F9"/>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583F"/>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2A41"/>
    <w:rsid w:val="007C420E"/>
    <w:rsid w:val="007C537E"/>
    <w:rsid w:val="007C5E54"/>
    <w:rsid w:val="007C695D"/>
    <w:rsid w:val="007C7340"/>
    <w:rsid w:val="007C7789"/>
    <w:rsid w:val="007C7960"/>
    <w:rsid w:val="007D00FF"/>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DAD"/>
    <w:rsid w:val="007F14BB"/>
    <w:rsid w:val="007F1724"/>
    <w:rsid w:val="007F1A59"/>
    <w:rsid w:val="007F1BDD"/>
    <w:rsid w:val="007F262D"/>
    <w:rsid w:val="007F2C1F"/>
    <w:rsid w:val="007F3289"/>
    <w:rsid w:val="007F3B22"/>
    <w:rsid w:val="007F54B0"/>
    <w:rsid w:val="007F5B23"/>
    <w:rsid w:val="007F7CBB"/>
    <w:rsid w:val="008005C1"/>
    <w:rsid w:val="0080184C"/>
    <w:rsid w:val="00801EED"/>
    <w:rsid w:val="00802D0F"/>
    <w:rsid w:val="00802DAE"/>
    <w:rsid w:val="00803A59"/>
    <w:rsid w:val="00804CA7"/>
    <w:rsid w:val="00804D75"/>
    <w:rsid w:val="00805BE5"/>
    <w:rsid w:val="00810007"/>
    <w:rsid w:val="00810A92"/>
    <w:rsid w:val="00810F3A"/>
    <w:rsid w:val="0081119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26761"/>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2556"/>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6CE5"/>
    <w:rsid w:val="00867D36"/>
    <w:rsid w:val="008705DC"/>
    <w:rsid w:val="0087076F"/>
    <w:rsid w:val="00870A05"/>
    <w:rsid w:val="00870CB6"/>
    <w:rsid w:val="00871B44"/>
    <w:rsid w:val="00871C27"/>
    <w:rsid w:val="00872136"/>
    <w:rsid w:val="00872550"/>
    <w:rsid w:val="00872E01"/>
    <w:rsid w:val="00873498"/>
    <w:rsid w:val="008738D7"/>
    <w:rsid w:val="008740ED"/>
    <w:rsid w:val="00874C9E"/>
    <w:rsid w:val="00875880"/>
    <w:rsid w:val="00875AE8"/>
    <w:rsid w:val="00876BFF"/>
    <w:rsid w:val="00877422"/>
    <w:rsid w:val="008776C5"/>
    <w:rsid w:val="00877D84"/>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155D"/>
    <w:rsid w:val="008B2187"/>
    <w:rsid w:val="008B224E"/>
    <w:rsid w:val="008B3539"/>
    <w:rsid w:val="008B35D7"/>
    <w:rsid w:val="008B43EA"/>
    <w:rsid w:val="008B4ED5"/>
    <w:rsid w:val="008B51CB"/>
    <w:rsid w:val="008B5603"/>
    <w:rsid w:val="008B5AF1"/>
    <w:rsid w:val="008B5B24"/>
    <w:rsid w:val="008B6DFD"/>
    <w:rsid w:val="008B752C"/>
    <w:rsid w:val="008B7C12"/>
    <w:rsid w:val="008C0707"/>
    <w:rsid w:val="008C1712"/>
    <w:rsid w:val="008C1951"/>
    <w:rsid w:val="008C2993"/>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6C23"/>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30"/>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6AEC"/>
    <w:rsid w:val="00907476"/>
    <w:rsid w:val="009074C4"/>
    <w:rsid w:val="00907DB1"/>
    <w:rsid w:val="0091187B"/>
    <w:rsid w:val="00911F88"/>
    <w:rsid w:val="00912978"/>
    <w:rsid w:val="00913519"/>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170A"/>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A51"/>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585"/>
    <w:rsid w:val="00966633"/>
    <w:rsid w:val="00966738"/>
    <w:rsid w:val="00966E44"/>
    <w:rsid w:val="0097146D"/>
    <w:rsid w:val="009719AC"/>
    <w:rsid w:val="00972320"/>
    <w:rsid w:val="009734A6"/>
    <w:rsid w:val="00974635"/>
    <w:rsid w:val="00974AED"/>
    <w:rsid w:val="009751B8"/>
    <w:rsid w:val="009752AA"/>
    <w:rsid w:val="0097536A"/>
    <w:rsid w:val="009754E4"/>
    <w:rsid w:val="00975564"/>
    <w:rsid w:val="00975B58"/>
    <w:rsid w:val="00975F81"/>
    <w:rsid w:val="00976D9F"/>
    <w:rsid w:val="00980C9F"/>
    <w:rsid w:val="00980CC4"/>
    <w:rsid w:val="00981570"/>
    <w:rsid w:val="0098159F"/>
    <w:rsid w:val="00981A23"/>
    <w:rsid w:val="00982ADA"/>
    <w:rsid w:val="00984E0D"/>
    <w:rsid w:val="0098759B"/>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6AA2"/>
    <w:rsid w:val="009975A4"/>
    <w:rsid w:val="009975D3"/>
    <w:rsid w:val="0099777B"/>
    <w:rsid w:val="009A0A17"/>
    <w:rsid w:val="009A0A30"/>
    <w:rsid w:val="009A0DE7"/>
    <w:rsid w:val="009A179B"/>
    <w:rsid w:val="009A2114"/>
    <w:rsid w:val="009A3317"/>
    <w:rsid w:val="009A3409"/>
    <w:rsid w:val="009A422A"/>
    <w:rsid w:val="009A5360"/>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4F2F"/>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1258"/>
    <w:rsid w:val="009F2F65"/>
    <w:rsid w:val="009F3B8C"/>
    <w:rsid w:val="009F4B89"/>
    <w:rsid w:val="009F55A7"/>
    <w:rsid w:val="009F5A55"/>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17FF9"/>
    <w:rsid w:val="00A20088"/>
    <w:rsid w:val="00A2050F"/>
    <w:rsid w:val="00A219B0"/>
    <w:rsid w:val="00A222F2"/>
    <w:rsid w:val="00A22520"/>
    <w:rsid w:val="00A23517"/>
    <w:rsid w:val="00A23891"/>
    <w:rsid w:val="00A248C3"/>
    <w:rsid w:val="00A24AC2"/>
    <w:rsid w:val="00A25E56"/>
    <w:rsid w:val="00A266D8"/>
    <w:rsid w:val="00A27FF3"/>
    <w:rsid w:val="00A30514"/>
    <w:rsid w:val="00A30F51"/>
    <w:rsid w:val="00A3139F"/>
    <w:rsid w:val="00A3142A"/>
    <w:rsid w:val="00A31B95"/>
    <w:rsid w:val="00A3234A"/>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2676"/>
    <w:rsid w:val="00A45022"/>
    <w:rsid w:val="00A4508D"/>
    <w:rsid w:val="00A45610"/>
    <w:rsid w:val="00A45A14"/>
    <w:rsid w:val="00A46463"/>
    <w:rsid w:val="00A46BB9"/>
    <w:rsid w:val="00A46C08"/>
    <w:rsid w:val="00A477A1"/>
    <w:rsid w:val="00A47936"/>
    <w:rsid w:val="00A503A1"/>
    <w:rsid w:val="00A50551"/>
    <w:rsid w:val="00A505D3"/>
    <w:rsid w:val="00A50DB1"/>
    <w:rsid w:val="00A522D5"/>
    <w:rsid w:val="00A52DE8"/>
    <w:rsid w:val="00A53DC9"/>
    <w:rsid w:val="00A5416C"/>
    <w:rsid w:val="00A54F5C"/>
    <w:rsid w:val="00A54F62"/>
    <w:rsid w:val="00A54F94"/>
    <w:rsid w:val="00A566D9"/>
    <w:rsid w:val="00A57F70"/>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67767"/>
    <w:rsid w:val="00A71C21"/>
    <w:rsid w:val="00A72449"/>
    <w:rsid w:val="00A724F7"/>
    <w:rsid w:val="00A724FD"/>
    <w:rsid w:val="00A72AE7"/>
    <w:rsid w:val="00A72BC2"/>
    <w:rsid w:val="00A732C1"/>
    <w:rsid w:val="00A73509"/>
    <w:rsid w:val="00A75F20"/>
    <w:rsid w:val="00A77330"/>
    <w:rsid w:val="00A77E1A"/>
    <w:rsid w:val="00A8071F"/>
    <w:rsid w:val="00A80F10"/>
    <w:rsid w:val="00A815CE"/>
    <w:rsid w:val="00A81934"/>
    <w:rsid w:val="00A81D02"/>
    <w:rsid w:val="00A822A0"/>
    <w:rsid w:val="00A82F18"/>
    <w:rsid w:val="00A831DB"/>
    <w:rsid w:val="00A83D16"/>
    <w:rsid w:val="00A84BB9"/>
    <w:rsid w:val="00A85842"/>
    <w:rsid w:val="00A8585A"/>
    <w:rsid w:val="00A860AB"/>
    <w:rsid w:val="00A866ED"/>
    <w:rsid w:val="00A871CC"/>
    <w:rsid w:val="00A90332"/>
    <w:rsid w:val="00A909AD"/>
    <w:rsid w:val="00A90C0E"/>
    <w:rsid w:val="00A91264"/>
    <w:rsid w:val="00A91FFC"/>
    <w:rsid w:val="00A92C5C"/>
    <w:rsid w:val="00A9524F"/>
    <w:rsid w:val="00A95D10"/>
    <w:rsid w:val="00A95E45"/>
    <w:rsid w:val="00A96313"/>
    <w:rsid w:val="00A96A07"/>
    <w:rsid w:val="00AA031D"/>
    <w:rsid w:val="00AA40E5"/>
    <w:rsid w:val="00AA4DF7"/>
    <w:rsid w:val="00AA655B"/>
    <w:rsid w:val="00AA7CD8"/>
    <w:rsid w:val="00AA7E01"/>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0381"/>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2278"/>
    <w:rsid w:val="00AD323C"/>
    <w:rsid w:val="00AD342A"/>
    <w:rsid w:val="00AD51F9"/>
    <w:rsid w:val="00AD6B16"/>
    <w:rsid w:val="00AD6CFB"/>
    <w:rsid w:val="00AD7531"/>
    <w:rsid w:val="00AD76FC"/>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4A2"/>
    <w:rsid w:val="00AF1AE2"/>
    <w:rsid w:val="00AF439F"/>
    <w:rsid w:val="00AF43B7"/>
    <w:rsid w:val="00AF50F3"/>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2FAF"/>
    <w:rsid w:val="00B15B29"/>
    <w:rsid w:val="00B15C46"/>
    <w:rsid w:val="00B160B8"/>
    <w:rsid w:val="00B167F6"/>
    <w:rsid w:val="00B16B91"/>
    <w:rsid w:val="00B206C9"/>
    <w:rsid w:val="00B2078B"/>
    <w:rsid w:val="00B20DB2"/>
    <w:rsid w:val="00B2196A"/>
    <w:rsid w:val="00B2273B"/>
    <w:rsid w:val="00B23168"/>
    <w:rsid w:val="00B233EE"/>
    <w:rsid w:val="00B235E8"/>
    <w:rsid w:val="00B238D8"/>
    <w:rsid w:val="00B2390E"/>
    <w:rsid w:val="00B2510C"/>
    <w:rsid w:val="00B26B1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76A"/>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7419"/>
    <w:rsid w:val="00B8778C"/>
    <w:rsid w:val="00B90A29"/>
    <w:rsid w:val="00B9397D"/>
    <w:rsid w:val="00B9436B"/>
    <w:rsid w:val="00B9522D"/>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2B85"/>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D7C55"/>
    <w:rsid w:val="00BE01F5"/>
    <w:rsid w:val="00BE0A09"/>
    <w:rsid w:val="00BE1115"/>
    <w:rsid w:val="00BE1C02"/>
    <w:rsid w:val="00BE2768"/>
    <w:rsid w:val="00BE2CFA"/>
    <w:rsid w:val="00BE30BF"/>
    <w:rsid w:val="00BE32CA"/>
    <w:rsid w:val="00BE32F5"/>
    <w:rsid w:val="00BE44C6"/>
    <w:rsid w:val="00BE4CBA"/>
    <w:rsid w:val="00BE5118"/>
    <w:rsid w:val="00BE60A0"/>
    <w:rsid w:val="00BE658C"/>
    <w:rsid w:val="00BE6CA4"/>
    <w:rsid w:val="00BE6F80"/>
    <w:rsid w:val="00BF4000"/>
    <w:rsid w:val="00BF68C7"/>
    <w:rsid w:val="00C01B22"/>
    <w:rsid w:val="00C01C51"/>
    <w:rsid w:val="00C027FE"/>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3D02"/>
    <w:rsid w:val="00C64535"/>
    <w:rsid w:val="00C64651"/>
    <w:rsid w:val="00C678E3"/>
    <w:rsid w:val="00C71295"/>
    <w:rsid w:val="00C7181B"/>
    <w:rsid w:val="00C72D45"/>
    <w:rsid w:val="00C73B14"/>
    <w:rsid w:val="00C74506"/>
    <w:rsid w:val="00C75EB8"/>
    <w:rsid w:val="00C76041"/>
    <w:rsid w:val="00C76455"/>
    <w:rsid w:val="00C76B86"/>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0478"/>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4DC5"/>
    <w:rsid w:val="00CC54E3"/>
    <w:rsid w:val="00CC5671"/>
    <w:rsid w:val="00CC581D"/>
    <w:rsid w:val="00CC69E3"/>
    <w:rsid w:val="00CD1BD7"/>
    <w:rsid w:val="00CD1F3C"/>
    <w:rsid w:val="00CD20B2"/>
    <w:rsid w:val="00CD3001"/>
    <w:rsid w:val="00CD3487"/>
    <w:rsid w:val="00CD3916"/>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45E4"/>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237A"/>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AE"/>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69B"/>
    <w:rsid w:val="00D72CBB"/>
    <w:rsid w:val="00D72CD6"/>
    <w:rsid w:val="00D73572"/>
    <w:rsid w:val="00D73611"/>
    <w:rsid w:val="00D736FE"/>
    <w:rsid w:val="00D739F3"/>
    <w:rsid w:val="00D73D67"/>
    <w:rsid w:val="00D74F25"/>
    <w:rsid w:val="00D76087"/>
    <w:rsid w:val="00D76CB9"/>
    <w:rsid w:val="00D77354"/>
    <w:rsid w:val="00D7755D"/>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955B1"/>
    <w:rsid w:val="00DA149A"/>
    <w:rsid w:val="00DA1B90"/>
    <w:rsid w:val="00DA2526"/>
    <w:rsid w:val="00DA3772"/>
    <w:rsid w:val="00DA3A12"/>
    <w:rsid w:val="00DA3CDE"/>
    <w:rsid w:val="00DA48F0"/>
    <w:rsid w:val="00DA6614"/>
    <w:rsid w:val="00DA6A9B"/>
    <w:rsid w:val="00DA6EC3"/>
    <w:rsid w:val="00DA7178"/>
    <w:rsid w:val="00DA75F9"/>
    <w:rsid w:val="00DB065E"/>
    <w:rsid w:val="00DB10D0"/>
    <w:rsid w:val="00DB1278"/>
    <w:rsid w:val="00DB201A"/>
    <w:rsid w:val="00DB26BA"/>
    <w:rsid w:val="00DB4513"/>
    <w:rsid w:val="00DB467D"/>
    <w:rsid w:val="00DB4A3E"/>
    <w:rsid w:val="00DB4DF4"/>
    <w:rsid w:val="00DB4F94"/>
    <w:rsid w:val="00DB688A"/>
    <w:rsid w:val="00DB6EA9"/>
    <w:rsid w:val="00DB6EB6"/>
    <w:rsid w:val="00DC0BA9"/>
    <w:rsid w:val="00DC1B16"/>
    <w:rsid w:val="00DC38D6"/>
    <w:rsid w:val="00DC3B52"/>
    <w:rsid w:val="00DC5C64"/>
    <w:rsid w:val="00DC5EF0"/>
    <w:rsid w:val="00DC63FB"/>
    <w:rsid w:val="00DD08DF"/>
    <w:rsid w:val="00DD0D2A"/>
    <w:rsid w:val="00DD0EAA"/>
    <w:rsid w:val="00DD1265"/>
    <w:rsid w:val="00DD1387"/>
    <w:rsid w:val="00DD16F5"/>
    <w:rsid w:val="00DD24F9"/>
    <w:rsid w:val="00DD26D0"/>
    <w:rsid w:val="00DD2BE9"/>
    <w:rsid w:val="00DD5969"/>
    <w:rsid w:val="00DD6468"/>
    <w:rsid w:val="00DD7E0D"/>
    <w:rsid w:val="00DE01BA"/>
    <w:rsid w:val="00DE0919"/>
    <w:rsid w:val="00DE0B3C"/>
    <w:rsid w:val="00DE0CA8"/>
    <w:rsid w:val="00DE0D30"/>
    <w:rsid w:val="00DE1384"/>
    <w:rsid w:val="00DE1AF4"/>
    <w:rsid w:val="00DE1CFB"/>
    <w:rsid w:val="00DE2D82"/>
    <w:rsid w:val="00DE2F41"/>
    <w:rsid w:val="00DE32A9"/>
    <w:rsid w:val="00DE3665"/>
    <w:rsid w:val="00DE36CB"/>
    <w:rsid w:val="00DE497C"/>
    <w:rsid w:val="00DE5C27"/>
    <w:rsid w:val="00DE63DB"/>
    <w:rsid w:val="00DE6A9B"/>
    <w:rsid w:val="00DE76F9"/>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0BF"/>
    <w:rsid w:val="00E12E01"/>
    <w:rsid w:val="00E141EE"/>
    <w:rsid w:val="00E143EB"/>
    <w:rsid w:val="00E14752"/>
    <w:rsid w:val="00E15F03"/>
    <w:rsid w:val="00E17B96"/>
    <w:rsid w:val="00E20047"/>
    <w:rsid w:val="00E202BD"/>
    <w:rsid w:val="00E20B69"/>
    <w:rsid w:val="00E20B6C"/>
    <w:rsid w:val="00E2286E"/>
    <w:rsid w:val="00E234DD"/>
    <w:rsid w:val="00E24B55"/>
    <w:rsid w:val="00E252F3"/>
    <w:rsid w:val="00E2584E"/>
    <w:rsid w:val="00E261E9"/>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3D9"/>
    <w:rsid w:val="00E44931"/>
    <w:rsid w:val="00E46DCA"/>
    <w:rsid w:val="00E47FC8"/>
    <w:rsid w:val="00E507A3"/>
    <w:rsid w:val="00E5090D"/>
    <w:rsid w:val="00E50F57"/>
    <w:rsid w:val="00E51672"/>
    <w:rsid w:val="00E5223E"/>
    <w:rsid w:val="00E5231D"/>
    <w:rsid w:val="00E52980"/>
    <w:rsid w:val="00E5442E"/>
    <w:rsid w:val="00E54A19"/>
    <w:rsid w:val="00E54C27"/>
    <w:rsid w:val="00E557C9"/>
    <w:rsid w:val="00E55FEA"/>
    <w:rsid w:val="00E565F1"/>
    <w:rsid w:val="00E57439"/>
    <w:rsid w:val="00E57A74"/>
    <w:rsid w:val="00E57FB3"/>
    <w:rsid w:val="00E601D3"/>
    <w:rsid w:val="00E61987"/>
    <w:rsid w:val="00E631A3"/>
    <w:rsid w:val="00E63BD3"/>
    <w:rsid w:val="00E63EFC"/>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35A"/>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B6B"/>
    <w:rsid w:val="00E97FF1"/>
    <w:rsid w:val="00EA0231"/>
    <w:rsid w:val="00EA1447"/>
    <w:rsid w:val="00EA1844"/>
    <w:rsid w:val="00EA2F90"/>
    <w:rsid w:val="00EA3449"/>
    <w:rsid w:val="00EA35DA"/>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42B"/>
    <w:rsid w:val="00EC1E69"/>
    <w:rsid w:val="00EC2FAB"/>
    <w:rsid w:val="00EC2FE4"/>
    <w:rsid w:val="00EC3E31"/>
    <w:rsid w:val="00EC4780"/>
    <w:rsid w:val="00EC5CE2"/>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3BC"/>
    <w:rsid w:val="00EE0F75"/>
    <w:rsid w:val="00EE116F"/>
    <w:rsid w:val="00EE1990"/>
    <w:rsid w:val="00EE24A4"/>
    <w:rsid w:val="00EE2725"/>
    <w:rsid w:val="00EE2EB0"/>
    <w:rsid w:val="00EE2F06"/>
    <w:rsid w:val="00EE3648"/>
    <w:rsid w:val="00EE3FF3"/>
    <w:rsid w:val="00EE44F3"/>
    <w:rsid w:val="00EE4E91"/>
    <w:rsid w:val="00EE5F21"/>
    <w:rsid w:val="00EE69EF"/>
    <w:rsid w:val="00EE7345"/>
    <w:rsid w:val="00EE7734"/>
    <w:rsid w:val="00EF1FCA"/>
    <w:rsid w:val="00EF2D73"/>
    <w:rsid w:val="00EF3A39"/>
    <w:rsid w:val="00EF42FE"/>
    <w:rsid w:val="00EF5FF7"/>
    <w:rsid w:val="00EF6BEB"/>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393C"/>
    <w:rsid w:val="00F151D3"/>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531A"/>
    <w:rsid w:val="00F37EA0"/>
    <w:rsid w:val="00F40C27"/>
    <w:rsid w:val="00F41D15"/>
    <w:rsid w:val="00F420AE"/>
    <w:rsid w:val="00F427A5"/>
    <w:rsid w:val="00F42B82"/>
    <w:rsid w:val="00F4303B"/>
    <w:rsid w:val="00F43494"/>
    <w:rsid w:val="00F44D61"/>
    <w:rsid w:val="00F46682"/>
    <w:rsid w:val="00F475C6"/>
    <w:rsid w:val="00F50727"/>
    <w:rsid w:val="00F5072C"/>
    <w:rsid w:val="00F50AA5"/>
    <w:rsid w:val="00F5243E"/>
    <w:rsid w:val="00F536D4"/>
    <w:rsid w:val="00F54285"/>
    <w:rsid w:val="00F54648"/>
    <w:rsid w:val="00F54ABA"/>
    <w:rsid w:val="00F5609A"/>
    <w:rsid w:val="00F56754"/>
    <w:rsid w:val="00F57547"/>
    <w:rsid w:val="00F57803"/>
    <w:rsid w:val="00F57D39"/>
    <w:rsid w:val="00F60FD5"/>
    <w:rsid w:val="00F61DFA"/>
    <w:rsid w:val="00F63B08"/>
    <w:rsid w:val="00F643E3"/>
    <w:rsid w:val="00F643F9"/>
    <w:rsid w:val="00F6516B"/>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3FC8"/>
    <w:rsid w:val="00F84A99"/>
    <w:rsid w:val="00F85F96"/>
    <w:rsid w:val="00F86C4F"/>
    <w:rsid w:val="00F90615"/>
    <w:rsid w:val="00F90BC0"/>
    <w:rsid w:val="00F922F8"/>
    <w:rsid w:val="00F931F0"/>
    <w:rsid w:val="00F9366E"/>
    <w:rsid w:val="00F936AB"/>
    <w:rsid w:val="00F94A1E"/>
    <w:rsid w:val="00F973FE"/>
    <w:rsid w:val="00FA06D2"/>
    <w:rsid w:val="00FA0F2F"/>
    <w:rsid w:val="00FA1064"/>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40"/>
    <w:rsid w:val="00FB7FEE"/>
    <w:rsid w:val="00FC0594"/>
    <w:rsid w:val="00FC0A0A"/>
    <w:rsid w:val="00FC0C68"/>
    <w:rsid w:val="00FC16F0"/>
    <w:rsid w:val="00FC2BC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5A4A"/>
    <w:rsid w:val="00FD69B5"/>
    <w:rsid w:val="00FD6A61"/>
    <w:rsid w:val="00FD6EDC"/>
    <w:rsid w:val="00FD7171"/>
    <w:rsid w:val="00FE0136"/>
    <w:rsid w:val="00FE03B0"/>
    <w:rsid w:val="00FE13E0"/>
    <w:rsid w:val="00FE1578"/>
    <w:rsid w:val="00FE170E"/>
    <w:rsid w:val="00FE2D37"/>
    <w:rsid w:val="00FE3818"/>
    <w:rsid w:val="00FE3C20"/>
    <w:rsid w:val="00FE3E4E"/>
    <w:rsid w:val="00FE53FC"/>
    <w:rsid w:val="00FE63B0"/>
    <w:rsid w:val="00FE77E8"/>
    <w:rsid w:val="00FE7EE4"/>
    <w:rsid w:val="00FF0E59"/>
    <w:rsid w:val="00FF122A"/>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3883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Plain Text"/>
    <w:basedOn w:val="a"/>
    <w:link w:val="af9"/>
    <w:uiPriority w:val="99"/>
    <w:semiHidden/>
    <w:unhideWhenUsed/>
    <w:rsid w:val="002F7302"/>
    <w:pPr>
      <w:jc w:val="left"/>
    </w:pPr>
    <w:rPr>
      <w:rFonts w:ascii="ＭＳ ゴシック" w:eastAsia="ＭＳ ゴシック" w:hAnsi="Courier New" w:cs="Courier New"/>
      <w:sz w:val="20"/>
      <w:szCs w:val="21"/>
    </w:rPr>
  </w:style>
  <w:style w:type="character" w:customStyle="1" w:styleId="af9">
    <w:name w:val="書式なし (文字)"/>
    <w:basedOn w:val="a0"/>
    <w:link w:val="af8"/>
    <w:uiPriority w:val="99"/>
    <w:semiHidden/>
    <w:rsid w:val="002F7302"/>
    <w:rPr>
      <w:rFonts w:ascii="ＭＳ ゴシック" w:eastAsia="ＭＳ ゴシック" w:hAnsi="Courier New" w:cs="Courier New"/>
      <w:kern w:val="2"/>
      <w:szCs w:val="21"/>
    </w:rPr>
  </w:style>
  <w:style w:type="paragraph" w:styleId="afa">
    <w:name w:val="List Paragraph"/>
    <w:basedOn w:val="a"/>
    <w:uiPriority w:val="34"/>
    <w:qFormat/>
    <w:rsid w:val="002F73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90006464">
      <w:bodyDiv w:val="1"/>
      <w:marLeft w:val="0"/>
      <w:marRight w:val="0"/>
      <w:marTop w:val="0"/>
      <w:marBottom w:val="0"/>
      <w:divBdr>
        <w:top w:val="none" w:sz="0" w:space="0" w:color="auto"/>
        <w:left w:val="none" w:sz="0" w:space="0" w:color="auto"/>
        <w:bottom w:val="none" w:sz="0" w:space="0" w:color="auto"/>
        <w:right w:val="none" w:sz="0" w:space="0" w:color="auto"/>
      </w:divBdr>
    </w:div>
    <w:div w:id="113985054">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181432894">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62044612">
      <w:bodyDiv w:val="1"/>
      <w:marLeft w:val="0"/>
      <w:marRight w:val="0"/>
      <w:marTop w:val="0"/>
      <w:marBottom w:val="0"/>
      <w:divBdr>
        <w:top w:val="none" w:sz="0" w:space="0" w:color="auto"/>
        <w:left w:val="none" w:sz="0" w:space="0" w:color="auto"/>
        <w:bottom w:val="none" w:sz="0" w:space="0" w:color="auto"/>
        <w:right w:val="none" w:sz="0" w:space="0" w:color="auto"/>
      </w:divBdr>
    </w:div>
    <w:div w:id="597566969">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9264469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12676265">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976061474">
      <w:bodyDiv w:val="1"/>
      <w:marLeft w:val="0"/>
      <w:marRight w:val="0"/>
      <w:marTop w:val="0"/>
      <w:marBottom w:val="0"/>
      <w:divBdr>
        <w:top w:val="none" w:sz="0" w:space="0" w:color="auto"/>
        <w:left w:val="none" w:sz="0" w:space="0" w:color="auto"/>
        <w:bottom w:val="none" w:sz="0" w:space="0" w:color="auto"/>
        <w:right w:val="none" w:sz="0" w:space="0" w:color="auto"/>
      </w:divBdr>
    </w:div>
    <w:div w:id="20385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1323</Words>
  <Characters>8233</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2020-10-15T05:58:00Z</dcterms:created>
  <dcterms:modified xsi:type="dcterms:W3CDTF">2020-12-23T06:32:00Z</dcterms:modified>
</cp:coreProperties>
</file>